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泉州市口腔种植服务医疗机构口腔种植专项治理相关事项汇总表</w:t>
      </w:r>
    </w:p>
    <w:bookmarkEnd w:id="0"/>
    <w:tbl>
      <w:tblPr>
        <w:tblStyle w:val="2"/>
        <w:tblW w:w="0" w:type="auto"/>
        <w:tblInd w:w="-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88"/>
        <w:gridCol w:w="837"/>
        <w:gridCol w:w="1050"/>
        <w:gridCol w:w="1275"/>
        <w:gridCol w:w="813"/>
        <w:gridCol w:w="687"/>
        <w:gridCol w:w="638"/>
        <w:gridCol w:w="1062"/>
        <w:gridCol w:w="1050"/>
        <w:gridCol w:w="1350"/>
        <w:gridCol w:w="1500"/>
        <w:gridCol w:w="1363"/>
        <w:gridCol w:w="962"/>
        <w:gridCol w:w="713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医疗机构等级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医保定点（是/否）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经营性质（公立医疗机构/民营医疗机构）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相关医师人数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护士人数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牙椅数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落实全流程价格调控（是/否）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实施集采结果（是/否）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实施牙冠竞价挂网结果（是/否）</w:t>
            </w: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参与集采的种植体信息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牙冠品牌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1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1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1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种植体厂家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1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lang w:eastAsia="zh-CN"/>
              </w:rPr>
              <w:t>销售价</w:t>
            </w:r>
          </w:p>
        </w:tc>
        <w:tc>
          <w:tcPr>
            <w:tcW w:w="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GJmZmVkMTVkM2U2NTVlNDEyMTJiYTZhZDAxMzYifQ=="/>
  </w:docVars>
  <w:rsids>
    <w:rsidRoot w:val="16F91431"/>
    <w:rsid w:val="16F9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1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0</TotalTime>
  <ScaleCrop>false</ScaleCrop>
  <LinksUpToDate>false</LinksUpToDate>
  <CharactersWithSpaces>154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2023-05-08T03:49:00Z</dcterms:created>
  <dc:creator>衹婳</dc:creator>
  <cp:lastModifiedBy>衹婳</cp:lastModifiedBy>
  <dcterms:modified xsi:type="dcterms:W3CDTF">2023-05-08T03:49:41Z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3A87423F640546DA84D29502E650B6C2_11</vt:lpwstr>
  </property>
</Properties>
</file>