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FF161">
      <w:pPr>
        <w:pStyle w:val="8"/>
        <w:ind w:right="508" w:rightChars="231"/>
        <w:rPr>
          <w:rFonts w:ascii="Times New Roman"/>
          <w:sz w:val="20"/>
          <w:highlight w:val="none"/>
        </w:rPr>
      </w:pPr>
    </w:p>
    <w:p w14:paraId="22819AED">
      <w:pPr>
        <w:pStyle w:val="15"/>
        <w:spacing w:line="324" w:lineRule="auto"/>
        <w:ind w:left="0" w:leftChars="0" w:right="508" w:rightChars="231" w:firstLine="0" w:firstLineChars="0"/>
        <w:jc w:val="center"/>
        <w:rPr>
          <w:rFonts w:hint="eastAsia" w:ascii="方正小标宋简体" w:hAnsi="方正小标宋简体" w:eastAsia="方正小标宋简体" w:cs="方正小标宋简体"/>
          <w:sz w:val="52"/>
          <w:szCs w:val="52"/>
          <w:highlight w:val="none"/>
          <w:lang w:val="en-US" w:eastAsia="zh-CN"/>
        </w:rPr>
      </w:pPr>
    </w:p>
    <w:p w14:paraId="628283E6">
      <w:pPr>
        <w:pStyle w:val="15"/>
        <w:spacing w:line="324" w:lineRule="auto"/>
        <w:ind w:left="0" w:leftChars="0" w:right="-48" w:rightChars="-22" w:firstLine="0" w:firstLineChars="0"/>
        <w:jc w:val="center"/>
        <w:rPr>
          <w:rFonts w:hint="eastAsia" w:ascii="方正小标宋简体" w:hAnsi="方正小标宋简体" w:eastAsia="方正小标宋简体" w:cs="方正小标宋简体"/>
          <w:sz w:val="52"/>
          <w:szCs w:val="52"/>
          <w:highlight w:val="none"/>
          <w:lang w:val="en-US" w:eastAsia="zh-CN"/>
        </w:rPr>
      </w:pPr>
      <w:r>
        <w:rPr>
          <w:rFonts w:hint="eastAsia" w:ascii="方正小标宋简体" w:hAnsi="方正小标宋简体" w:eastAsia="方正小标宋简体" w:cs="方正小标宋简体"/>
          <w:sz w:val="52"/>
          <w:szCs w:val="52"/>
          <w:highlight w:val="none"/>
          <w:lang w:val="en-US" w:eastAsia="zh-CN"/>
        </w:rPr>
        <w:t>一次性使用阴道扩张器全省性联盟</w:t>
      </w:r>
    </w:p>
    <w:p w14:paraId="13B90ADD">
      <w:pPr>
        <w:pStyle w:val="15"/>
        <w:spacing w:line="324" w:lineRule="auto"/>
        <w:ind w:left="0" w:leftChars="0" w:right="-48" w:rightChars="-22" w:firstLine="0" w:firstLineChars="0"/>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集中带量</w:t>
      </w:r>
      <w:bookmarkStart w:id="0" w:name="_Toc2032235065"/>
      <w:r>
        <w:rPr>
          <w:rFonts w:hint="eastAsia" w:ascii="方正小标宋简体" w:hAnsi="方正小标宋简体" w:eastAsia="方正小标宋简体" w:cs="方正小标宋简体"/>
          <w:sz w:val="52"/>
          <w:szCs w:val="52"/>
          <w:highlight w:val="none"/>
        </w:rPr>
        <w:t>采购文件</w:t>
      </w:r>
      <w:bookmarkEnd w:id="0"/>
    </w:p>
    <w:p w14:paraId="343ABEE4">
      <w:pPr>
        <w:widowControl/>
        <w:autoSpaceDE/>
        <w:autoSpaceDN/>
        <w:spacing w:before="762" w:line="560" w:lineRule="exact"/>
        <w:ind w:right="-48" w:rightChars="-22"/>
        <w:jc w:val="center"/>
        <w:outlineLvl w:val="9"/>
        <w:rPr>
          <w:rFonts w:ascii="楷体"/>
          <w:sz w:val="44"/>
          <w:highlight w:val="none"/>
        </w:rPr>
      </w:pPr>
    </w:p>
    <w:p w14:paraId="43E4A18C">
      <w:pPr>
        <w:pStyle w:val="8"/>
        <w:spacing w:before="12"/>
        <w:ind w:right="508" w:rightChars="231"/>
        <w:rPr>
          <w:rFonts w:ascii="楷体"/>
          <w:sz w:val="44"/>
          <w:highlight w:val="none"/>
        </w:rPr>
      </w:pPr>
    </w:p>
    <w:p w14:paraId="50F3F764">
      <w:pPr>
        <w:pStyle w:val="8"/>
        <w:spacing w:before="12"/>
        <w:ind w:right="508" w:rightChars="231"/>
        <w:rPr>
          <w:rFonts w:ascii="楷体"/>
          <w:sz w:val="44"/>
          <w:highlight w:val="none"/>
        </w:rPr>
      </w:pPr>
    </w:p>
    <w:p w14:paraId="35E80B99">
      <w:pPr>
        <w:pStyle w:val="8"/>
        <w:spacing w:before="12"/>
        <w:ind w:right="508" w:rightChars="231"/>
        <w:rPr>
          <w:rFonts w:ascii="楷体"/>
          <w:sz w:val="44"/>
          <w:highlight w:val="none"/>
        </w:rPr>
      </w:pPr>
    </w:p>
    <w:p w14:paraId="4B568F2C">
      <w:pPr>
        <w:pStyle w:val="8"/>
        <w:spacing w:before="12"/>
        <w:ind w:right="508" w:rightChars="231"/>
        <w:rPr>
          <w:rFonts w:ascii="楷体"/>
          <w:sz w:val="44"/>
          <w:highlight w:val="none"/>
        </w:rPr>
      </w:pPr>
    </w:p>
    <w:p w14:paraId="3A8B9067">
      <w:pPr>
        <w:pStyle w:val="8"/>
        <w:spacing w:before="12"/>
        <w:ind w:right="508" w:rightChars="231"/>
        <w:rPr>
          <w:rFonts w:ascii="楷体"/>
          <w:sz w:val="44"/>
          <w:highlight w:val="none"/>
        </w:rPr>
      </w:pPr>
    </w:p>
    <w:p w14:paraId="4DD40762">
      <w:pPr>
        <w:pStyle w:val="8"/>
        <w:spacing w:before="12"/>
        <w:ind w:right="508" w:rightChars="231"/>
        <w:rPr>
          <w:rFonts w:ascii="楷体"/>
          <w:sz w:val="44"/>
          <w:highlight w:val="none"/>
        </w:rPr>
      </w:pPr>
    </w:p>
    <w:p w14:paraId="7915E477">
      <w:pPr>
        <w:pStyle w:val="8"/>
        <w:spacing w:before="12"/>
        <w:ind w:right="508" w:rightChars="231"/>
        <w:rPr>
          <w:rFonts w:ascii="楷体"/>
          <w:sz w:val="44"/>
          <w:highlight w:val="none"/>
        </w:rPr>
      </w:pPr>
    </w:p>
    <w:p w14:paraId="4E54914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right="-48" w:rightChars="-22"/>
        <w:jc w:val="center"/>
        <w:textAlignment w:val="auto"/>
        <w:outlineLvl w:val="9"/>
        <w:rPr>
          <w:rFonts w:hint="eastAsia" w:ascii="仿宋_GB2312" w:hAnsi="仿宋_GB2312" w:eastAsia="仿宋_GB2312" w:cs="仿宋_GB2312"/>
          <w:b w:val="0"/>
          <w:bCs w:val="0"/>
          <w:i w:val="0"/>
          <w:caps w:val="0"/>
          <w:color w:val="333333"/>
          <w:spacing w:val="0"/>
          <w:w w:val="95"/>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w w:val="95"/>
          <w:kern w:val="0"/>
          <w:sz w:val="32"/>
          <w:szCs w:val="32"/>
          <w:highlight w:val="none"/>
          <w:shd w:val="clear" w:color="auto" w:fill="FFFFFF"/>
          <w:lang w:val="en-US" w:eastAsia="zh-CN" w:bidi="ar"/>
        </w:rPr>
        <w:t>一次性使用输尿管导引鞘、一次性使用阴道扩张器</w:t>
      </w:r>
    </w:p>
    <w:p w14:paraId="323B827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atLeast"/>
        <w:ind w:right="-48" w:rightChars="-22"/>
        <w:jc w:val="center"/>
        <w:textAlignment w:val="auto"/>
        <w:outlineLvl w:val="9"/>
        <w:rPr>
          <w:rFonts w:hint="eastAsia" w:ascii="仿宋_GB2312" w:hAnsi="仿宋_GB2312" w:eastAsia="仿宋_GB2312" w:cs="仿宋_GB2312"/>
          <w:b w:val="0"/>
          <w:bCs w:val="0"/>
          <w:i w:val="0"/>
          <w:caps w:val="0"/>
          <w:color w:val="333333"/>
          <w:spacing w:val="0"/>
          <w:w w:val="95"/>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w w:val="95"/>
          <w:kern w:val="0"/>
          <w:sz w:val="32"/>
          <w:szCs w:val="32"/>
          <w:highlight w:val="none"/>
          <w:shd w:val="clear" w:color="auto" w:fill="FFFFFF"/>
          <w:lang w:val="en-US" w:eastAsia="zh-CN" w:bidi="ar"/>
        </w:rPr>
        <w:t>全省性联盟集采领导小组办公室</w:t>
      </w:r>
    </w:p>
    <w:p w14:paraId="16592135">
      <w:pPr>
        <w:widowControl/>
        <w:spacing w:before="0" w:line="600" w:lineRule="atLeast"/>
        <w:ind w:left="0" w:right="-48" w:rightChars="-22" w:firstLine="0"/>
        <w:jc w:val="center"/>
        <w:rPr>
          <w:rFonts w:hint="eastAsia" w:ascii="仿宋_GB2312" w:hAnsi="仿宋_GB2312" w:eastAsia="仿宋_GB2312" w:cs="仿宋_GB2312"/>
          <w:b w:val="0"/>
          <w:bCs w:val="0"/>
          <w:sz w:val="32"/>
          <w:szCs w:val="32"/>
          <w:highlight w:val="none"/>
        </w:rPr>
        <w:sectPr>
          <w:footerReference r:id="rId7" w:type="first"/>
          <w:headerReference r:id="rId5" w:type="default"/>
          <w:footerReference r:id="rId6" w:type="default"/>
          <w:pgSz w:w="11910" w:h="16840"/>
          <w:pgMar w:top="1440" w:right="1800" w:bottom="1440" w:left="1800" w:header="1145" w:footer="1276" w:gutter="0"/>
          <w:pgBorders>
            <w:top w:val="none" w:sz="0" w:space="0"/>
            <w:left w:val="none" w:sz="0" w:space="0"/>
            <w:bottom w:val="none" w:sz="0" w:space="0"/>
            <w:right w:val="none" w:sz="0" w:space="0"/>
          </w:pgBorders>
          <w:pgNumType w:fmt="decimal"/>
          <w:cols w:space="720" w:num="1"/>
          <w:titlePg/>
        </w:sectPr>
      </w:pPr>
      <w:r>
        <w:rPr>
          <w:rFonts w:hint="eastAsia" w:ascii="仿宋_GB2312" w:hAnsi="仿宋_GB2312" w:eastAsia="仿宋_GB2312" w:cs="仿宋_GB2312"/>
          <w:b w:val="0"/>
          <w:bCs w:val="0"/>
          <w:color w:val="333333"/>
          <w:sz w:val="32"/>
          <w:szCs w:val="32"/>
          <w:highlight w:val="none"/>
          <w:shd w:val="clear" w:color="auto" w:fill="FFFFFF"/>
          <w:lang w:bidi="ar"/>
        </w:rPr>
        <w:t>202</w:t>
      </w:r>
      <w:r>
        <w:rPr>
          <w:rFonts w:hint="eastAsia" w:ascii="仿宋_GB2312" w:hAnsi="仿宋_GB2312" w:eastAsia="仿宋_GB2312" w:cs="仿宋_GB2312"/>
          <w:b w:val="0"/>
          <w:bCs w:val="0"/>
          <w:color w:val="333333"/>
          <w:sz w:val="32"/>
          <w:szCs w:val="32"/>
          <w:highlight w:val="none"/>
          <w:shd w:val="clear" w:color="auto" w:fill="FFFFFF"/>
          <w:lang w:val="en-US" w:eastAsia="zh-CN" w:bidi="ar"/>
        </w:rPr>
        <w:t>5</w:t>
      </w:r>
      <w:r>
        <w:rPr>
          <w:rFonts w:hint="eastAsia" w:ascii="仿宋_GB2312" w:hAnsi="仿宋_GB2312" w:eastAsia="仿宋_GB2312" w:cs="仿宋_GB2312"/>
          <w:b w:val="0"/>
          <w:bCs w:val="0"/>
          <w:color w:val="333333"/>
          <w:spacing w:val="0"/>
          <w:sz w:val="32"/>
          <w:szCs w:val="32"/>
          <w:highlight w:val="none"/>
          <w:shd w:val="clear" w:color="auto" w:fill="FFFFFF"/>
          <w:lang w:bidi="ar"/>
        </w:rPr>
        <w:t>年</w:t>
      </w:r>
      <w:r>
        <w:rPr>
          <w:rFonts w:hint="eastAsia" w:ascii="仿宋_GB2312" w:hAnsi="仿宋_GB2312" w:eastAsia="仿宋_GB2312" w:cs="仿宋_GB2312"/>
          <w:b w:val="0"/>
          <w:bCs w:val="0"/>
          <w:color w:val="333333"/>
          <w:spacing w:val="0"/>
          <w:sz w:val="32"/>
          <w:szCs w:val="32"/>
          <w:highlight w:val="none"/>
          <w:shd w:val="clear" w:color="auto" w:fill="FFFFFF"/>
          <w:lang w:val="en-US" w:eastAsia="zh-CN" w:bidi="ar"/>
        </w:rPr>
        <w:t>9</w:t>
      </w:r>
      <w:r>
        <w:rPr>
          <w:rFonts w:hint="eastAsia" w:ascii="仿宋_GB2312" w:hAnsi="仿宋_GB2312" w:eastAsia="仿宋_GB2312" w:cs="仿宋_GB2312"/>
          <w:b w:val="0"/>
          <w:bCs w:val="0"/>
          <w:color w:val="333333"/>
          <w:spacing w:val="0"/>
          <w:sz w:val="32"/>
          <w:szCs w:val="32"/>
          <w:highlight w:val="none"/>
          <w:shd w:val="clear" w:color="auto" w:fill="FFFFFF"/>
          <w:lang w:bidi="ar"/>
        </w:rPr>
        <w:t>月</w:t>
      </w:r>
    </w:p>
    <w:p w14:paraId="4FC77C26">
      <w:pPr>
        <w:keepNext w:val="0"/>
        <w:keepLines w:val="0"/>
        <w:pageBreakBefore w:val="0"/>
        <w:widowControl w:val="0"/>
        <w:kinsoku/>
        <w:wordWrap/>
        <w:overflowPunct/>
        <w:topLinePunct w:val="0"/>
        <w:autoSpaceDE w:val="0"/>
        <w:autoSpaceDN w:val="0"/>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目</w:t>
      </w:r>
      <w:r>
        <w:rPr>
          <w:rFonts w:hint="eastAsia" w:ascii="方正小标宋简体" w:hAnsi="方正小标宋简体" w:eastAsia="方正小标宋简体" w:cs="方正小标宋简体"/>
          <w:b w:val="0"/>
          <w:bCs w:val="0"/>
          <w:sz w:val="44"/>
          <w:szCs w:val="44"/>
          <w:highlight w:val="none"/>
          <w:lang w:val="en-US" w:eastAsia="zh-CN"/>
        </w:rPr>
        <w:t xml:space="preserve">   </w:t>
      </w:r>
      <w:r>
        <w:rPr>
          <w:rFonts w:hint="eastAsia" w:ascii="方正小标宋简体" w:hAnsi="方正小标宋简体" w:eastAsia="方正小标宋简体" w:cs="方正小标宋简体"/>
          <w:b w:val="0"/>
          <w:bCs w:val="0"/>
          <w:sz w:val="44"/>
          <w:szCs w:val="44"/>
          <w:highlight w:val="none"/>
        </w:rPr>
        <w:t>录</w:t>
      </w:r>
    </w:p>
    <w:p w14:paraId="33ABB578">
      <w:pPr>
        <w:pStyle w:val="12"/>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_Toc20930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val="en-US" w:eastAsia="zh-CN" w:bidi="ar-SA"/>
        </w:rPr>
        <w:t>第一部分 采购邀请</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_Toc20930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4D7FF35D">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_Toc5909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一、</w:t>
      </w:r>
      <w:r>
        <w:rPr>
          <w:rFonts w:hint="eastAsia" w:ascii="仿宋_GB2312" w:hAnsi="仿宋_GB2312" w:eastAsia="仿宋_GB2312" w:cs="仿宋_GB2312"/>
          <w:bCs w:val="0"/>
          <w:sz w:val="32"/>
          <w:szCs w:val="32"/>
          <w:highlight w:val="none"/>
        </w:rPr>
        <w:t>信息公告获取方式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_Toc5909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63A1B07E">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二、采购品种</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_Toc3269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0539A413">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_Toc9386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三、采购需求量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_Toc9386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61D925E4">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四、申报资格</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_Toc21586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7D6397D8">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_Toc30916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（一）资质要求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_Toc30916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5966FC49">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_Toc25825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（二）其他要求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_Toc25825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4E578646">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_Toc31004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五、采购执行说明</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_Toc31004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5FBEBBB0">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_Toc17379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六、采购周期与采购协议</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_Toc17379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675705CE">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_Toc22935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七、申报方式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_Toc22935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7B58DB70">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_Toc20757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八、工作流程</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_Toc20757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2E6F5987">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_Toc12475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九、联系方式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_Toc12475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278A44CE">
      <w:pPr>
        <w:pStyle w:val="13"/>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_Toc12190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第二部分 申报企业须知</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_Toc12190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23608C8B">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_Toc18660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一、申报材料</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_Toc18660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770D0481">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_Toc11504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（一）申报企业资质材料</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_Toc11504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44C6BA5F">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_Toc23586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（二）申报产品及产品资质</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_Toc23586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57DB5BD3">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_Toc15289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（三）项目报名资料</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_Toc15289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390DAE95">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_Toc6107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（四）填报要求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_Toc6107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45A077FF">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_Toc2930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二、</w:t>
      </w:r>
      <w:r>
        <w:rPr>
          <w:rFonts w:hint="eastAsia" w:ascii="仿宋_GB2312" w:hAnsi="仿宋_GB2312" w:eastAsia="仿宋_GB2312" w:cs="仿宋_GB2312"/>
          <w:bCs w:val="0"/>
          <w:sz w:val="32"/>
          <w:szCs w:val="32"/>
          <w:highlight w:val="none"/>
          <w:lang w:val="en-US" w:eastAsia="zh-CN"/>
        </w:rPr>
        <w:t>申报</w:t>
      </w:r>
      <w:r>
        <w:rPr>
          <w:rFonts w:hint="eastAsia" w:ascii="仿宋_GB2312" w:hAnsi="仿宋_GB2312" w:eastAsia="仿宋_GB2312" w:cs="仿宋_GB2312"/>
          <w:bCs w:val="0"/>
          <w:sz w:val="32"/>
          <w:szCs w:val="32"/>
          <w:highlight w:val="none"/>
          <w:lang w:eastAsia="zh-CN"/>
        </w:rPr>
        <w:t>报价</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_Toc2930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42D1F36C">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_Toc28327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三、中选规则</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_Toc28327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1E9CC922">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_Toc18761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（一）报价要求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_Toc18761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45EC4DB6">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_Toc12812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（二）拟中选及协议采购量确定规则</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_Toc12812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7682A662">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_Toc15739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bidi="ar-SA"/>
        </w:rPr>
        <w:t>1.拟中选规则</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_Toc15739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2FF1F28C">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_Toc31479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bidi="ar-SA"/>
        </w:rPr>
        <w:t>2.拟中选结果公示</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_Toc31479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6C16DFD7">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_Toc20568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bidi="ar-SA"/>
        </w:rPr>
        <w:t>3.中选结果公布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_Toc20568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08E42482">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_Toc24362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bidi="ar-SA"/>
        </w:rPr>
        <w:t>4.协议采购量确定</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_Toc24362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2ABFF33F">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_Toc7300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val="en-US" w:eastAsia="zh-CN"/>
        </w:rPr>
        <w:t>四、采购与配送</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_Toc7300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49D56514">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_Toc8954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（一）签订带量购销合同</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_Toc8954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7FA26E60">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_Toc8248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lang w:val="en-US" w:eastAsia="zh-CN" w:bidi="ar-SA"/>
        </w:rPr>
        <w:t>（二）医用耗材配送</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_Toc8248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5BE68E29">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_Toc16125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五、货款结算</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_Toc16125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31CD923D">
      <w:pPr>
        <w:pStyle w:val="9"/>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_Toc31254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六、其他</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_Toc31254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30AC74C8">
      <w:pPr>
        <w:pStyle w:val="13"/>
        <w:keepNext w:val="0"/>
        <w:keepLines w:val="0"/>
        <w:pageBreakBefore w:val="0"/>
        <w:widowControl w:val="0"/>
        <w:tabs>
          <w:tab w:val="right" w:leader="dot" w:pos="8849"/>
        </w:tabs>
        <w:kinsoku/>
        <w:wordWrap/>
        <w:overflowPunct/>
        <w:topLinePunct w:val="0"/>
        <w:autoSpaceDE w:val="0"/>
        <w:autoSpaceDN w:val="0"/>
        <w:bidi w:val="0"/>
        <w:adjustRightInd/>
        <w:snapToGrid/>
        <w:spacing w:before="0"/>
        <w:ind w:left="0" w:leftChars="0" w:firstLine="0" w:firstLineChars="0"/>
        <w:jc w:val="left"/>
        <w:textAlignment w:val="auto"/>
        <w:rPr>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_Toc10494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第三部分</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_Toc10494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14:paraId="2062F1FC">
      <w:pPr>
        <w:keepNext w:val="0"/>
        <w:keepLines w:val="0"/>
        <w:pageBreakBefore w:val="0"/>
        <w:widowControl w:val="0"/>
        <w:kinsoku/>
        <w:wordWrap/>
        <w:overflowPunct/>
        <w:topLinePunct w:val="0"/>
        <w:autoSpaceDE w:val="0"/>
        <w:autoSpaceDN w:val="0"/>
        <w:bidi w:val="0"/>
        <w:adjustRightInd/>
        <w:snapToGrid/>
        <w:spacing w:before="0"/>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Cs w:val="32"/>
          <w:highlight w:val="none"/>
        </w:rPr>
        <w:fldChar w:fldCharType="end"/>
      </w:r>
    </w:p>
    <w:p w14:paraId="0DAE157D">
      <w:pPr>
        <w:rPr>
          <w:rFonts w:hint="eastAsia" w:ascii="仿宋_GB2312" w:hAnsi="仿宋_GB2312" w:eastAsia="仿宋_GB2312" w:cs="仿宋_GB2312"/>
          <w:sz w:val="32"/>
          <w:szCs w:val="32"/>
          <w:highlight w:val="none"/>
        </w:rPr>
      </w:pPr>
    </w:p>
    <w:p w14:paraId="6EC3F092">
      <w:pPr>
        <w:rPr>
          <w:rFonts w:hint="eastAsia" w:ascii="仿宋_GB2312" w:hAnsi="仿宋_GB2312" w:eastAsia="仿宋_GB2312" w:cs="仿宋_GB2312"/>
          <w:sz w:val="32"/>
          <w:szCs w:val="32"/>
          <w:highlight w:val="none"/>
          <w:lang w:val="en-US" w:eastAsia="zh-CN" w:bidi="ar-SA"/>
        </w:rPr>
      </w:pPr>
      <w:bookmarkStart w:id="1" w:name="_Toc1471165196"/>
      <w:bookmarkStart w:id="2" w:name="_Toc411880969"/>
      <w:bookmarkStart w:id="3" w:name="_Toc318541765"/>
      <w:r>
        <w:rPr>
          <w:rFonts w:hint="eastAsia" w:ascii="仿宋_GB2312" w:hAnsi="仿宋_GB2312" w:eastAsia="仿宋_GB2312" w:cs="仿宋_GB2312"/>
          <w:sz w:val="32"/>
          <w:szCs w:val="32"/>
          <w:highlight w:val="none"/>
          <w:lang w:val="en-US" w:eastAsia="zh-CN" w:bidi="ar-SA"/>
        </w:rPr>
        <w:br w:type="page"/>
      </w:r>
    </w:p>
    <w:p w14:paraId="4E738986">
      <w:pPr>
        <w:pStyle w:val="13"/>
        <w:keepNext w:val="0"/>
        <w:keepLines w:val="0"/>
        <w:pageBreakBefore w:val="0"/>
        <w:widowControl w:val="0"/>
        <w:tabs>
          <w:tab w:val="right" w:leader="dot" w:pos="8905"/>
        </w:tabs>
        <w:kinsoku/>
        <w:wordWrap/>
        <w:overflowPunct/>
        <w:topLinePunct w:val="0"/>
        <w:autoSpaceDE w:val="0"/>
        <w:autoSpaceDN w:val="0"/>
        <w:bidi w:val="0"/>
        <w:adjustRightInd/>
        <w:snapToGrid/>
        <w:spacing w:before="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highlight w:val="none"/>
          <w:lang w:val="en-US" w:eastAsia="zh-CN" w:bidi="ar-SA"/>
        </w:rPr>
      </w:pPr>
      <w:bookmarkStart w:id="4" w:name="_Toc681541396"/>
      <w:bookmarkStart w:id="5" w:name="_Toc20930"/>
      <w:bookmarkStart w:id="6" w:name="_Toc375725091"/>
      <w:r>
        <w:rPr>
          <w:rFonts w:hint="eastAsia" w:ascii="方正小标宋简体" w:hAnsi="方正小标宋简体" w:eastAsia="方正小标宋简体" w:cs="方正小标宋简体"/>
          <w:sz w:val="44"/>
          <w:szCs w:val="44"/>
          <w:highlight w:val="none"/>
          <w:lang w:val="en-US" w:eastAsia="zh-CN" w:bidi="ar-SA"/>
        </w:rPr>
        <w:t>第一部分 采购邀请</w:t>
      </w:r>
      <w:bookmarkEnd w:id="1"/>
      <w:bookmarkEnd w:id="2"/>
      <w:bookmarkEnd w:id="3"/>
      <w:bookmarkEnd w:id="4"/>
      <w:bookmarkEnd w:id="5"/>
      <w:bookmarkEnd w:id="6"/>
    </w:p>
    <w:p w14:paraId="14104655">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0" w:firstLineChars="0"/>
        <w:jc w:val="center"/>
        <w:textAlignment w:val="auto"/>
        <w:rPr>
          <w:rFonts w:hint="eastAsia" w:ascii="仿宋_GB2312" w:hAnsi="仿宋_GB2312" w:eastAsia="仿宋_GB2312" w:cs="仿宋_GB2312"/>
          <w:highlight w:val="none"/>
        </w:rPr>
      </w:pPr>
      <w:bookmarkStart w:id="7" w:name="_TOC_250002"/>
      <w:bookmarkEnd w:id="7"/>
      <w:bookmarkStart w:id="8" w:name="_Toc1332082820"/>
      <w:bookmarkStart w:id="9" w:name="_Toc835204565"/>
      <w:r>
        <w:rPr>
          <w:rFonts w:hint="eastAsia" w:ascii="黑体" w:hAnsi="黑体" w:eastAsia="黑体" w:cs="黑体"/>
          <w:color w:val="000000"/>
          <w:spacing w:val="-6"/>
          <w:kern w:val="0"/>
          <w:sz w:val="32"/>
          <w:szCs w:val="32"/>
          <w:highlight w:val="none"/>
          <w:lang w:val="en-US" w:eastAsia="zh-CN" w:bidi="ar"/>
        </w:rPr>
        <w:t>一次性使用阴道扩张器邀请函</w:t>
      </w:r>
      <w:bookmarkEnd w:id="8"/>
      <w:bookmarkEnd w:id="9"/>
    </w:p>
    <w:p w14:paraId="37916307">
      <w:pPr>
        <w:pStyle w:val="8"/>
        <w:keepNext w:val="0"/>
        <w:keepLines w:val="0"/>
        <w:pageBreakBefore w:val="0"/>
        <w:widowControl w:val="0"/>
        <w:kinsoku/>
        <w:wordWrap/>
        <w:overflowPunct/>
        <w:topLinePunct w:val="0"/>
        <w:bidi w:val="0"/>
        <w:adjustRightInd w:val="0"/>
        <w:snapToGrid/>
        <w:spacing w:before="0" w:line="560" w:lineRule="exact"/>
        <w:ind w:left="0" w:right="0" w:rightChars="0" w:firstLine="0" w:firstLineChars="0"/>
        <w:jc w:val="center"/>
        <w:textAlignment w:val="auto"/>
        <w:rPr>
          <w:rFonts w:hint="eastAsia" w:ascii="仿宋_GB2312" w:hAnsi="仿宋_GB2312" w:eastAsia="仿宋_GB2312" w:cs="仿宋_GB2312"/>
          <w:highlight w:val="none"/>
          <w:lang w:val="en-US" w:eastAsia="zh-CN"/>
        </w:rPr>
      </w:pPr>
    </w:p>
    <w:p w14:paraId="550F5395">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各相关企业：</w:t>
      </w:r>
    </w:p>
    <w:p w14:paraId="3D5BFE84">
      <w:pPr>
        <w:pStyle w:val="14"/>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rightChars="0" w:firstLine="640" w:firstLineChars="200"/>
        <w:jc w:val="both"/>
        <w:textAlignment w:val="auto"/>
        <w:rPr>
          <w:rFonts w:ascii="等线" w:hAnsi="等线" w:eastAsia="等线" w:cs="等线"/>
          <w:sz w:val="24"/>
          <w:szCs w:val="24"/>
          <w:highlight w:val="none"/>
        </w:rPr>
      </w:pPr>
      <w:bookmarkStart w:id="10" w:name="一、信息公告获取方式"/>
      <w:bookmarkEnd w:id="10"/>
      <w:bookmarkStart w:id="11" w:name="_Toc1209682257"/>
      <w:bookmarkStart w:id="12" w:name="_Toc393270333"/>
      <w:bookmarkStart w:id="13" w:name="_Toc1837768310"/>
      <w:bookmarkStart w:id="14" w:name="_Toc2138794942"/>
      <w:r>
        <w:rPr>
          <w:rFonts w:ascii="仿宋_GB2312" w:hAnsi="等线" w:eastAsia="仿宋_GB2312" w:cs="仿宋_GB2312"/>
          <w:b w:val="0"/>
          <w:bCs w:val="0"/>
          <w:i w:val="0"/>
          <w:iCs w:val="0"/>
          <w:caps w:val="0"/>
          <w:color w:val="000000"/>
          <w:spacing w:val="0"/>
          <w:sz w:val="32"/>
          <w:szCs w:val="32"/>
          <w:highlight w:val="none"/>
          <w:vertAlign w:val="baseline"/>
        </w:rPr>
        <w:t>为认真贯彻落实</w:t>
      </w:r>
      <w:r>
        <w:rPr>
          <w:rFonts w:hint="eastAsia" w:ascii="仿宋_GB2312" w:hAnsi="等线" w:eastAsia="仿宋_GB2312" w:cs="仿宋_GB2312"/>
          <w:b w:val="0"/>
          <w:bCs w:val="0"/>
          <w:i w:val="0"/>
          <w:iCs w:val="0"/>
          <w:caps w:val="0"/>
          <w:color w:val="000000"/>
          <w:spacing w:val="0"/>
          <w:sz w:val="32"/>
          <w:szCs w:val="32"/>
          <w:highlight w:val="none"/>
          <w:vertAlign w:val="baseline"/>
        </w:rPr>
        <w:t>《福建省医疗保障局关于印发2025年全省医疗保障工作要点的通知》（闽医保〔2025〕9号）文件精神，切实</w:t>
      </w:r>
      <w:r>
        <w:rPr>
          <w:rFonts w:hint="eastAsia" w:ascii="仿宋_GB2312" w:hAnsi="等线" w:eastAsia="仿宋_GB2312" w:cs="仿宋_GB2312"/>
          <w:b w:val="0"/>
          <w:bCs w:val="0"/>
          <w:i w:val="0"/>
          <w:iCs w:val="0"/>
          <w:caps w:val="0"/>
          <w:color w:val="000000"/>
          <w:spacing w:val="-2"/>
          <w:sz w:val="32"/>
          <w:szCs w:val="32"/>
          <w:highlight w:val="none"/>
          <w:vertAlign w:val="baseline"/>
        </w:rPr>
        <w:t>保障临床需求，降低医用耗材采购价格，规范医疗服务行为，</w:t>
      </w:r>
      <w:r>
        <w:rPr>
          <w:rFonts w:hint="eastAsia" w:ascii="仿宋_GB2312" w:hAnsi="等线" w:eastAsia="仿宋_GB2312" w:cs="仿宋_GB2312"/>
          <w:b w:val="0"/>
          <w:bCs w:val="0"/>
          <w:i w:val="0"/>
          <w:iCs w:val="0"/>
          <w:caps w:val="0"/>
          <w:color w:val="000000"/>
          <w:spacing w:val="0"/>
          <w:sz w:val="32"/>
          <w:szCs w:val="32"/>
          <w:highlight w:val="none"/>
          <w:vertAlign w:val="baseline"/>
        </w:rPr>
        <w:t>全省相关地市组成采购联盟，代表各地区公立医疗机构（含军队医疗机构）及自愿参加的医保定点社会办医疗机构等，开展一次性使用阴道扩张器全省性联盟集中带量采购（具体参与情况详见附件1），现邀请符合条件的企业积极申报。</w:t>
      </w:r>
    </w:p>
    <w:p w14:paraId="7D37AD1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rPr>
      </w:pPr>
      <w:bookmarkStart w:id="15" w:name="_Toc2135953121"/>
      <w:bookmarkStart w:id="16" w:name="_Toc5909"/>
      <w:r>
        <w:rPr>
          <w:rFonts w:hint="eastAsia" w:ascii="黑体" w:hAnsi="黑体" w:eastAsia="黑体" w:cs="黑体"/>
          <w:b w:val="0"/>
          <w:bCs w:val="0"/>
          <w:highlight w:val="none"/>
          <w:lang w:eastAsia="zh-CN"/>
        </w:rPr>
        <w:t>一、</w:t>
      </w:r>
      <w:r>
        <w:rPr>
          <w:rFonts w:hint="eastAsia" w:ascii="黑体" w:hAnsi="黑体" w:eastAsia="黑体" w:cs="黑体"/>
          <w:b w:val="0"/>
          <w:bCs w:val="0"/>
          <w:highlight w:val="none"/>
        </w:rPr>
        <w:t>信息公告获取方式</w:t>
      </w:r>
      <w:bookmarkEnd w:id="11"/>
      <w:bookmarkEnd w:id="12"/>
      <w:bookmarkEnd w:id="13"/>
      <w:bookmarkEnd w:id="14"/>
      <w:bookmarkEnd w:id="15"/>
      <w:bookmarkEnd w:id="16"/>
    </w:p>
    <w:p w14:paraId="7D666BD9">
      <w:pPr>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一次性使用阴道扩张器全省性联盟集中带量采购工作（以下简称“联盟采购工作”）由一次性使用阴道扩张器全省性联盟集采领导小组办公室（以下简称“集采办”）开展，集采办设在泉州市医疗保障局，日常工作和具体实施由泉州市医疗保障局承担。</w:t>
      </w:r>
    </w:p>
    <w:p w14:paraId="0A9B036B">
      <w:pPr>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联盟采购工作所有公告、信息通过泉州市医疗保障局官方网站（网址：https://qzybj.quanzhou.gov.cn/）“通知公告”模块及一次性使用阴道扩张器全省性联盟集中带量采购网址（https://fjzc.eliancloud.cn/tps-local/#/login</w:t>
      </w:r>
      <w:r>
        <w:rPr>
          <w:rFonts w:hint="eastAsia" w:ascii="仿宋_GB2312" w:hAnsi="仿宋_GB2312" w:eastAsia="仿宋_GB2312" w:cs="仿宋_GB2312"/>
          <w:color w:val="auto"/>
          <w:spacing w:val="-1"/>
          <w:sz w:val="32"/>
          <w:szCs w:val="32"/>
          <w:highlight w:val="none"/>
          <w:lang w:val="en-US" w:eastAsia="zh-CN" w:bidi="ar-SA"/>
        </w:rPr>
        <w:t>）</w:t>
      </w:r>
      <w:r>
        <w:rPr>
          <w:rFonts w:hint="eastAsia" w:ascii="仿宋_GB2312" w:hAnsi="仿宋_GB2312" w:eastAsia="仿宋_GB2312" w:cs="仿宋_GB2312"/>
          <w:spacing w:val="-1"/>
          <w:sz w:val="32"/>
          <w:szCs w:val="32"/>
          <w:highlight w:val="none"/>
          <w:lang w:val="en-US" w:eastAsia="zh-CN" w:bidi="ar-SA"/>
        </w:rPr>
        <w:t>（以下简称“联盟集采网址”）</w:t>
      </w:r>
      <w:r>
        <w:rPr>
          <w:rFonts w:hint="eastAsia" w:ascii="仿宋_GB2312" w:hAnsi="仿宋_GB2312" w:eastAsia="仿宋_GB2312" w:cs="仿宋_GB2312"/>
          <w:color w:val="auto"/>
          <w:spacing w:val="-1"/>
          <w:sz w:val="32"/>
          <w:szCs w:val="32"/>
          <w:highlight w:val="none"/>
          <w:lang w:val="en-US" w:eastAsia="zh-CN" w:bidi="ar-SA"/>
        </w:rPr>
        <w:t>发布。</w:t>
      </w:r>
    </w:p>
    <w:p w14:paraId="5368662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7" w:name="二、采购品种及竞价单元"/>
      <w:bookmarkEnd w:id="17"/>
      <w:bookmarkStart w:id="18" w:name="_Toc1627461395"/>
      <w:bookmarkStart w:id="19" w:name="_Toc902007250"/>
      <w:bookmarkStart w:id="20" w:name="_Toc45767915"/>
      <w:bookmarkStart w:id="21" w:name="_Toc1106248352"/>
      <w:bookmarkStart w:id="22" w:name="_Toc100792151"/>
      <w:bookmarkStart w:id="23" w:name="_Toc3269"/>
      <w:r>
        <w:rPr>
          <w:rFonts w:hint="eastAsia" w:ascii="黑体" w:hAnsi="黑体" w:eastAsia="黑体" w:cs="黑体"/>
          <w:b w:val="0"/>
          <w:bCs w:val="0"/>
          <w:highlight w:val="none"/>
          <w:lang w:eastAsia="zh-CN"/>
        </w:rPr>
        <w:t>二、采购品种</w:t>
      </w:r>
      <w:bookmarkEnd w:id="18"/>
      <w:bookmarkEnd w:id="19"/>
      <w:bookmarkEnd w:id="20"/>
      <w:bookmarkEnd w:id="21"/>
      <w:bookmarkEnd w:id="22"/>
      <w:bookmarkEnd w:id="23"/>
    </w:p>
    <w:p w14:paraId="7B0A61F3">
      <w:pPr>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本次联盟采购品种为一次性使用阴道扩张器（</w:t>
      </w:r>
      <w:r>
        <w:rPr>
          <w:rFonts w:hint="eastAsia" w:ascii="仿宋_GB2312" w:hAnsi="仿宋_GB2312" w:eastAsia="仿宋_GB2312" w:cs="仿宋_GB2312"/>
          <w:color w:val="auto"/>
          <w:kern w:val="0"/>
          <w:sz w:val="32"/>
          <w:szCs w:val="32"/>
          <w:highlight w:val="none"/>
          <w:shd w:val="clear" w:color="auto" w:fill="FFFFFF"/>
        </w:rPr>
        <w:t>国家医保局医保医用耗材编码前15位</w:t>
      </w:r>
      <w:r>
        <w:rPr>
          <w:rFonts w:hint="eastAsia" w:ascii="仿宋_GB2312" w:hAnsi="仿宋_GB2312" w:eastAsia="仿宋_GB2312" w:cs="仿宋_GB2312"/>
          <w:color w:val="auto"/>
          <w:spacing w:val="-1"/>
          <w:sz w:val="32"/>
          <w:szCs w:val="32"/>
          <w:highlight w:val="none"/>
          <w:lang w:val="en-US" w:eastAsia="zh-CN" w:bidi="ar-SA"/>
        </w:rPr>
        <w:t>包含但不限于</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spacing w:val="-1"/>
          <w:sz w:val="32"/>
          <w:szCs w:val="32"/>
          <w:highlight w:val="none"/>
          <w:lang w:val="en-US" w:eastAsia="zh-CN" w:bidi="ar-SA"/>
        </w:rPr>
        <w:t>C14020226900017）。</w:t>
      </w:r>
    </w:p>
    <w:p w14:paraId="468570D6">
      <w:pPr>
        <w:pStyle w:val="21"/>
        <w:rPr>
          <w:rFonts w:hint="eastAsia" w:cs="方正仿宋简体"/>
          <w:spacing w:val="0"/>
          <w:sz w:val="24"/>
          <w:szCs w:val="24"/>
          <w:highlight w:val="none"/>
          <w:lang w:val="en-US" w:eastAsia="zh-CN" w:bidi="ar-SA"/>
        </w:rPr>
      </w:pP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4"/>
        <w:gridCol w:w="1624"/>
        <w:gridCol w:w="3502"/>
        <w:gridCol w:w="1182"/>
        <w:gridCol w:w="2018"/>
      </w:tblGrid>
      <w:tr w14:paraId="70A2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12" w:hRule="exact"/>
        </w:trPr>
        <w:tc>
          <w:tcPr>
            <w:tcW w:w="405" w:type="pct"/>
            <w:shd w:val="clear" w:color="auto" w:fill="auto"/>
            <w:vAlign w:val="center"/>
          </w:tcPr>
          <w:p w14:paraId="453B14D2">
            <w:pPr>
              <w:keepNext w:val="0"/>
              <w:keepLines w:val="0"/>
              <w:pageBreakBefore w:val="0"/>
              <w:widowControl w:val="0"/>
              <w:suppressLineNumbers w:val="0"/>
              <w:kinsoku/>
              <w:wordWrap/>
              <w:overflowPunct/>
              <w:topLinePunct w:val="0"/>
              <w:autoSpaceDE/>
              <w:autoSpaceDN/>
              <w:bidi w:val="0"/>
              <w:jc w:val="center"/>
              <w:textAlignment w:val="center"/>
              <w:rPr>
                <w:rFonts w:ascii="仿宋_GB2312" w:hAnsi="宋体" w:eastAsia="仿宋_GB2312" w:cs="仿宋_GB2312"/>
                <w:b/>
                <w:i w:val="0"/>
                <w:color w:val="auto"/>
                <w:sz w:val="28"/>
                <w:szCs w:val="28"/>
                <w:highlight w:val="none"/>
                <w:u w:val="none"/>
              </w:rPr>
            </w:pPr>
            <w:r>
              <w:rPr>
                <w:rFonts w:hint="default" w:ascii="仿宋_GB2312" w:hAnsi="宋体" w:eastAsia="仿宋_GB2312" w:cs="仿宋_GB2312"/>
                <w:b/>
                <w:i w:val="0"/>
                <w:color w:val="auto"/>
                <w:kern w:val="0"/>
                <w:sz w:val="28"/>
                <w:szCs w:val="28"/>
                <w:highlight w:val="none"/>
                <w:u w:val="none"/>
                <w:lang w:val="en-US" w:eastAsia="zh-CN" w:bidi="ar"/>
              </w:rPr>
              <w:t>序号</w:t>
            </w:r>
          </w:p>
        </w:tc>
        <w:tc>
          <w:tcPr>
            <w:tcW w:w="896" w:type="pct"/>
            <w:shd w:val="clear" w:color="auto" w:fill="auto"/>
            <w:vAlign w:val="center"/>
          </w:tcPr>
          <w:p w14:paraId="32B0D00A">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b/>
                <w:i w:val="0"/>
                <w:color w:val="auto"/>
                <w:sz w:val="28"/>
                <w:szCs w:val="28"/>
                <w:highlight w:val="none"/>
                <w:u w:val="none"/>
                <w:lang w:val="en-US"/>
              </w:rPr>
            </w:pPr>
            <w:r>
              <w:rPr>
                <w:rFonts w:hint="default" w:ascii="仿宋_GB2312" w:hAnsi="宋体" w:eastAsia="仿宋_GB2312" w:cs="仿宋_GB2312"/>
                <w:b/>
                <w:i w:val="0"/>
                <w:color w:val="auto"/>
                <w:kern w:val="0"/>
                <w:sz w:val="28"/>
                <w:szCs w:val="28"/>
                <w:highlight w:val="none"/>
                <w:u w:val="none"/>
                <w:lang w:val="en-US" w:eastAsia="zh-CN" w:bidi="ar"/>
              </w:rPr>
              <w:t>品种</w:t>
            </w:r>
          </w:p>
        </w:tc>
        <w:tc>
          <w:tcPr>
            <w:tcW w:w="1932" w:type="pct"/>
            <w:shd w:val="clear" w:color="auto" w:fill="auto"/>
            <w:vAlign w:val="center"/>
          </w:tcPr>
          <w:p w14:paraId="439CBDC1">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b/>
                <w:i w:val="0"/>
                <w:color w:val="auto"/>
                <w:sz w:val="28"/>
                <w:szCs w:val="28"/>
                <w:highlight w:val="none"/>
                <w:u w:val="none"/>
              </w:rPr>
            </w:pPr>
            <w:r>
              <w:rPr>
                <w:rFonts w:hint="default" w:ascii="仿宋_GB2312" w:hAnsi="宋体" w:eastAsia="仿宋_GB2312" w:cs="仿宋_GB2312"/>
                <w:b/>
                <w:i w:val="0"/>
                <w:color w:val="auto"/>
                <w:kern w:val="0"/>
                <w:sz w:val="28"/>
                <w:szCs w:val="28"/>
                <w:highlight w:val="none"/>
                <w:u w:val="none"/>
                <w:lang w:val="en-US" w:eastAsia="zh-CN" w:bidi="ar"/>
              </w:rPr>
              <w:t>临床技术要求</w:t>
            </w:r>
          </w:p>
        </w:tc>
        <w:tc>
          <w:tcPr>
            <w:tcW w:w="652" w:type="pct"/>
            <w:shd w:val="clear" w:color="auto" w:fill="auto"/>
            <w:vAlign w:val="center"/>
          </w:tcPr>
          <w:p w14:paraId="3E3B4CFD">
            <w:pPr>
              <w:keepNext w:val="0"/>
              <w:keepLines w:val="0"/>
              <w:pageBreakBefore w:val="0"/>
              <w:widowControl w:val="0"/>
              <w:suppressLineNumbers w:val="0"/>
              <w:kinsoku/>
              <w:wordWrap/>
              <w:overflowPunct/>
              <w:topLinePunct w:val="0"/>
              <w:autoSpaceDE/>
              <w:autoSpaceDN/>
              <w:bidi w:val="0"/>
              <w:jc w:val="center"/>
              <w:textAlignment w:val="center"/>
              <w:rPr>
                <w:rFonts w:hint="default" w:ascii="仿宋_GB2312" w:hAnsi="宋体" w:eastAsia="仿宋_GB2312" w:cs="仿宋_GB2312"/>
                <w:b/>
                <w:i w:val="0"/>
                <w:color w:val="auto"/>
                <w:kern w:val="0"/>
                <w:sz w:val="28"/>
                <w:szCs w:val="28"/>
                <w:highlight w:val="none"/>
                <w:u w:val="none"/>
                <w:lang w:val="en-US" w:eastAsia="zh-CN" w:bidi="ar"/>
              </w:rPr>
            </w:pPr>
            <w:r>
              <w:rPr>
                <w:rFonts w:hint="eastAsia" w:ascii="仿宋_GB2312" w:hAnsi="宋体" w:eastAsia="仿宋_GB2312" w:cs="仿宋_GB2312"/>
                <w:b/>
                <w:i w:val="0"/>
                <w:color w:val="auto"/>
                <w:kern w:val="0"/>
                <w:sz w:val="28"/>
                <w:szCs w:val="28"/>
                <w:highlight w:val="none"/>
                <w:u w:val="none"/>
                <w:lang w:val="en-US" w:eastAsia="zh-CN" w:bidi="ar"/>
              </w:rPr>
              <w:t>单位</w:t>
            </w:r>
          </w:p>
        </w:tc>
        <w:tc>
          <w:tcPr>
            <w:tcW w:w="1113" w:type="pct"/>
            <w:shd w:val="clear" w:color="auto" w:fill="auto"/>
            <w:vAlign w:val="center"/>
          </w:tcPr>
          <w:p w14:paraId="00C77E35">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宋体" w:eastAsia="仿宋_GB2312" w:cs="仿宋_GB2312"/>
                <w:b/>
                <w:i w:val="0"/>
                <w:color w:val="C00000"/>
                <w:kern w:val="0"/>
                <w:sz w:val="28"/>
                <w:szCs w:val="28"/>
                <w:highlight w:val="none"/>
                <w:u w:val="none"/>
                <w:lang w:val="en-US" w:eastAsia="zh-CN" w:bidi="ar"/>
              </w:rPr>
            </w:pPr>
            <w:r>
              <w:rPr>
                <w:rFonts w:hint="eastAsia" w:ascii="仿宋_GB2312" w:hAnsi="宋体" w:eastAsia="仿宋_GB2312" w:cs="仿宋_GB2312"/>
                <w:b/>
                <w:i w:val="0"/>
                <w:color w:val="auto"/>
                <w:kern w:val="0"/>
                <w:sz w:val="28"/>
                <w:szCs w:val="28"/>
                <w:highlight w:val="none"/>
                <w:u w:val="none"/>
                <w:lang w:val="en-US" w:eastAsia="zh-CN" w:bidi="ar"/>
              </w:rPr>
              <w:t>需求量</w:t>
            </w:r>
          </w:p>
        </w:tc>
      </w:tr>
      <w:tr w14:paraId="0122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18" w:hRule="exact"/>
        </w:trPr>
        <w:tc>
          <w:tcPr>
            <w:tcW w:w="405" w:type="pct"/>
            <w:shd w:val="clear" w:color="auto" w:fill="auto"/>
            <w:vAlign w:val="center"/>
          </w:tcPr>
          <w:p w14:paraId="47B894BC">
            <w:pPr>
              <w:keepNext w:val="0"/>
              <w:keepLines w:val="0"/>
              <w:pageBreakBefore w:val="0"/>
              <w:widowControl w:val="0"/>
              <w:suppressLineNumbers w:val="0"/>
              <w:kinsoku/>
              <w:wordWrap/>
              <w:overflowPunct/>
              <w:topLinePunct w:val="0"/>
              <w:autoSpaceDE/>
              <w:autoSpaceDN/>
              <w:bidi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p>
        </w:tc>
        <w:tc>
          <w:tcPr>
            <w:tcW w:w="896" w:type="pct"/>
            <w:shd w:val="clear" w:color="auto" w:fill="auto"/>
            <w:vAlign w:val="center"/>
          </w:tcPr>
          <w:p w14:paraId="6B0D4408">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仿宋_GB2312" w:hAnsi="仿宋_GB2312" w:eastAsia="仿宋_GB2312" w:cs="仿宋_GB2312"/>
                <w:spacing w:val="-1"/>
                <w:sz w:val="32"/>
                <w:szCs w:val="32"/>
                <w:highlight w:val="none"/>
                <w:lang w:val="en-US" w:eastAsia="zh-CN" w:bidi="ar-SA"/>
              </w:rPr>
              <w:t>一次性使用阴道扩张器</w:t>
            </w:r>
          </w:p>
        </w:tc>
        <w:tc>
          <w:tcPr>
            <w:tcW w:w="1932" w:type="pct"/>
            <w:shd w:val="clear" w:color="auto" w:fill="auto"/>
            <w:vAlign w:val="center"/>
          </w:tcPr>
          <w:p w14:paraId="4D210C65">
            <w:pPr>
              <w:pStyle w:val="6"/>
              <w:jc w:val="left"/>
              <w:rPr>
                <w:rFonts w:hint="default"/>
                <w:highlight w:val="none"/>
                <w:lang w:val="en-US" w:eastAsia="zh-CN"/>
              </w:rPr>
            </w:pPr>
            <w:r>
              <w:rPr>
                <w:rFonts w:hint="eastAsia" w:ascii="仿宋_GB2312" w:hAnsi="Calibri" w:eastAsia="仿宋_GB2312" w:cs="仿宋_GB2312"/>
                <w:b w:val="0"/>
                <w:i w:val="0"/>
                <w:caps w:val="0"/>
                <w:color w:val="333333"/>
                <w:spacing w:val="0"/>
                <w:kern w:val="0"/>
                <w:sz w:val="32"/>
                <w:szCs w:val="32"/>
                <w:highlight w:val="none"/>
                <w:shd w:val="clear" w:color="auto" w:fill="FFFFFF"/>
                <w:lang w:val="en-US" w:eastAsia="zh-CN" w:bidi="ar"/>
              </w:rPr>
              <w:t>包含手术型和检查型（荧光型、即毁型等特殊型号除外），可根据临床需求提供不同规格的产品。</w:t>
            </w:r>
          </w:p>
        </w:tc>
        <w:tc>
          <w:tcPr>
            <w:tcW w:w="652" w:type="pct"/>
            <w:shd w:val="clear" w:color="auto" w:fill="auto"/>
            <w:vAlign w:val="center"/>
          </w:tcPr>
          <w:p w14:paraId="449FF0FE">
            <w:pPr>
              <w:pStyle w:val="6"/>
              <w:jc w:val="center"/>
              <w:rPr>
                <w:rFonts w:hint="default" w:ascii="仿宋" w:hAnsi="仿宋" w:eastAsia="仿宋" w:cs="宋体"/>
                <w:color w:val="000000"/>
                <w:kern w:val="0"/>
                <w:sz w:val="24"/>
                <w:szCs w:val="24"/>
                <w:highlight w:val="none"/>
                <w:lang w:val="en-US" w:eastAsia="zh-CN"/>
              </w:rPr>
            </w:pPr>
            <w:r>
              <w:rPr>
                <w:rFonts w:hint="eastAsia" w:ascii="仿宋" w:hAnsi="仿宋" w:cs="宋体"/>
                <w:color w:val="000000"/>
                <w:kern w:val="0"/>
                <w:sz w:val="24"/>
                <w:szCs w:val="24"/>
                <w:highlight w:val="none"/>
                <w:lang w:val="en-US" w:eastAsia="zh-CN"/>
              </w:rPr>
              <w:t>个</w:t>
            </w:r>
          </w:p>
        </w:tc>
        <w:tc>
          <w:tcPr>
            <w:tcW w:w="1113" w:type="pct"/>
            <w:shd w:val="clear" w:color="auto" w:fill="auto"/>
            <w:vAlign w:val="center"/>
          </w:tcPr>
          <w:p w14:paraId="29704604">
            <w:pPr>
              <w:pStyle w:val="6"/>
              <w:jc w:val="center"/>
              <w:rPr>
                <w:rFonts w:hint="default" w:ascii="仿宋" w:hAnsi="仿宋" w:eastAsia="仿宋" w:cs="宋体"/>
                <w:color w:val="000000"/>
                <w:kern w:val="0"/>
                <w:sz w:val="24"/>
                <w:szCs w:val="24"/>
                <w:highlight w:val="none"/>
                <w:lang w:val="en-US" w:eastAsia="zh-CN"/>
              </w:rPr>
            </w:pPr>
            <w:r>
              <w:rPr>
                <w:rFonts w:hint="eastAsia" w:ascii="仿宋" w:hAnsi="仿宋" w:cs="宋体"/>
                <w:color w:val="000000"/>
                <w:kern w:val="0"/>
                <w:sz w:val="24"/>
                <w:szCs w:val="24"/>
                <w:highlight w:val="none"/>
                <w:lang w:val="en-US" w:eastAsia="zh-CN"/>
              </w:rPr>
              <w:t>2723583</w:t>
            </w:r>
          </w:p>
        </w:tc>
      </w:tr>
    </w:tbl>
    <w:p w14:paraId="2F83062F">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24" w:name="三、采购需求量"/>
      <w:bookmarkEnd w:id="24"/>
      <w:bookmarkStart w:id="25" w:name="_Toc1480513410"/>
      <w:bookmarkStart w:id="26" w:name="_Toc948786577"/>
      <w:bookmarkStart w:id="27" w:name="_Toc1264994868"/>
      <w:bookmarkStart w:id="28" w:name="_Toc244453926"/>
      <w:bookmarkStart w:id="29" w:name="_Toc9386"/>
      <w:bookmarkStart w:id="30" w:name="_Toc148621969"/>
      <w:r>
        <w:rPr>
          <w:rFonts w:hint="eastAsia" w:ascii="黑体" w:hAnsi="黑体" w:eastAsia="黑体" w:cs="黑体"/>
          <w:b w:val="0"/>
          <w:bCs w:val="0"/>
          <w:highlight w:val="none"/>
          <w:lang w:eastAsia="zh-CN"/>
        </w:rPr>
        <w:t>三、采购需求量</w:t>
      </w:r>
      <w:bookmarkEnd w:id="25"/>
      <w:bookmarkEnd w:id="26"/>
      <w:bookmarkEnd w:id="27"/>
      <w:bookmarkEnd w:id="28"/>
      <w:bookmarkEnd w:id="29"/>
      <w:bookmarkEnd w:id="30"/>
    </w:p>
    <w:p w14:paraId="70953982">
      <w:pPr>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各产品采购需求量根据参与本次联盟采购的医疗机构报送的采购需求量累加得出。</w:t>
      </w:r>
    </w:p>
    <w:p w14:paraId="2DA122A6">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31" w:name="四、申报资格"/>
      <w:bookmarkEnd w:id="31"/>
      <w:bookmarkStart w:id="32" w:name="_Toc1340954541"/>
      <w:bookmarkStart w:id="33" w:name="_Toc153724953"/>
      <w:bookmarkStart w:id="34" w:name="_Toc400917571"/>
      <w:bookmarkStart w:id="35" w:name="_Toc1868672031"/>
      <w:bookmarkStart w:id="36" w:name="_Toc1189920664"/>
      <w:bookmarkStart w:id="37" w:name="_Toc21586"/>
      <w:r>
        <w:rPr>
          <w:rFonts w:hint="eastAsia" w:ascii="黑体" w:hAnsi="黑体" w:eastAsia="黑体" w:cs="黑体"/>
          <w:b w:val="0"/>
          <w:bCs w:val="0"/>
          <w:highlight w:val="none"/>
          <w:lang w:eastAsia="zh-CN"/>
        </w:rPr>
        <w:t>四、申报资格</w:t>
      </w:r>
      <w:bookmarkEnd w:id="32"/>
      <w:bookmarkEnd w:id="33"/>
      <w:bookmarkEnd w:id="34"/>
      <w:bookmarkEnd w:id="35"/>
      <w:bookmarkEnd w:id="36"/>
      <w:bookmarkEnd w:id="37"/>
    </w:p>
    <w:p w14:paraId="1E2C99F7">
      <w:pPr>
        <w:keepNext w:val="0"/>
        <w:keepLines w:val="0"/>
        <w:pageBreakBefore w:val="0"/>
        <w:widowControl w:val="0"/>
        <w:kinsoku/>
        <w:wordWrap/>
        <w:overflowPunct/>
        <w:topLinePunct w:val="0"/>
        <w:autoSpaceDE w:val="0"/>
        <w:autoSpaceDN w:val="0"/>
        <w:bidi w:val="0"/>
        <w:adjustRightInd w:val="0"/>
        <w:snapToGrid/>
        <w:spacing w:before="0" w:line="580" w:lineRule="exact"/>
        <w:ind w:left="0" w:right="0" w:rightChars="0" w:firstLine="640" w:firstLineChars="200"/>
        <w:jc w:val="both"/>
        <w:textAlignment w:val="auto"/>
        <w:rPr>
          <w:rFonts w:hint="eastAsia" w:ascii="仿宋_GB2312" w:hAnsi="仿宋_GB2312" w:eastAsia="仿宋_GB2312" w:cs="仿宋_GB2312"/>
          <w:color w:val="000000"/>
          <w:spacing w:val="0"/>
          <w:sz w:val="32"/>
          <w:szCs w:val="32"/>
          <w:highlight w:val="none"/>
          <w:lang w:val="en-US" w:eastAsia="zh-CN" w:bidi="ar-SA"/>
        </w:rPr>
      </w:pPr>
      <w:r>
        <w:rPr>
          <w:rFonts w:hint="eastAsia" w:ascii="仿宋_GB2312" w:hAnsi="仿宋_GB2312" w:eastAsia="仿宋_GB2312" w:cs="仿宋_GB2312"/>
          <w:color w:val="000000"/>
          <w:sz w:val="32"/>
          <w:szCs w:val="32"/>
          <w:highlight w:val="none"/>
          <w:lang w:eastAsia="zh-CN"/>
        </w:rPr>
        <w:t>申报企业为提供医用耗材及伴随服务的医用耗材生产企业〔境外医用耗材《医疗器械注册证》上指定的代理人或进口商（报关企业）视同生产企业〕和医疗器械注册人。</w:t>
      </w:r>
      <w:r>
        <w:rPr>
          <w:rFonts w:hint="eastAsia" w:ascii="仿宋_GB2312" w:hAnsi="仿宋_GB2312" w:eastAsia="仿宋_GB2312" w:cs="仿宋_GB2312"/>
          <w:color w:val="000000"/>
          <w:spacing w:val="0"/>
          <w:sz w:val="32"/>
          <w:szCs w:val="32"/>
          <w:highlight w:val="none"/>
          <w:lang w:val="en-US" w:eastAsia="zh-CN" w:bidi="ar-SA"/>
        </w:rPr>
        <w:t>参加</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color w:val="000000"/>
          <w:spacing w:val="0"/>
          <w:sz w:val="32"/>
          <w:szCs w:val="32"/>
          <w:highlight w:val="none"/>
          <w:lang w:val="en-US" w:eastAsia="zh-CN" w:bidi="ar-SA"/>
        </w:rPr>
        <w:t>的申报企业应当符合以下要求：</w:t>
      </w:r>
    </w:p>
    <w:p w14:paraId="2E69465D">
      <w:pPr>
        <w:pStyle w:val="8"/>
        <w:keepNext w:val="0"/>
        <w:keepLines w:val="0"/>
        <w:pageBreakBefore w:val="0"/>
        <w:widowControl w:val="0"/>
        <w:kinsoku/>
        <w:wordWrap/>
        <w:overflowPunct/>
        <w:topLinePunct w:val="0"/>
        <w:autoSpaceDE w:val="0"/>
        <w:autoSpaceDN w:val="0"/>
        <w:bidi w:val="0"/>
        <w:snapToGrid/>
        <w:spacing w:before="0" w:line="580" w:lineRule="exact"/>
        <w:ind w:left="0" w:right="0" w:rightChars="0" w:firstLine="640"/>
        <w:textAlignment w:val="auto"/>
        <w:outlineLvl w:val="2"/>
        <w:rPr>
          <w:rFonts w:hint="eastAsia" w:ascii="楷体_GB2312" w:hAnsi="楷体_GB2312" w:eastAsia="楷体_GB2312" w:cs="楷体_GB2312"/>
          <w:b w:val="0"/>
          <w:bCs/>
          <w:sz w:val="32"/>
          <w:szCs w:val="22"/>
          <w:highlight w:val="none"/>
          <w:lang w:val="en-US" w:eastAsia="zh-CN" w:bidi="ar-SA"/>
        </w:rPr>
      </w:pPr>
      <w:bookmarkStart w:id="38" w:name="_Toc1628878984"/>
      <w:bookmarkStart w:id="39" w:name="_Toc1919726455"/>
      <w:bookmarkStart w:id="40" w:name="_Toc30916"/>
      <w:bookmarkStart w:id="41" w:name="_Toc1211466799"/>
      <w:bookmarkStart w:id="42" w:name="_Toc1565415158"/>
      <w:r>
        <w:rPr>
          <w:rFonts w:hint="eastAsia" w:ascii="楷体_GB2312" w:hAnsi="楷体_GB2312" w:eastAsia="楷体_GB2312" w:cs="楷体_GB2312"/>
          <w:b w:val="0"/>
          <w:bCs/>
          <w:sz w:val="32"/>
          <w:szCs w:val="22"/>
          <w:highlight w:val="none"/>
          <w:lang w:val="en-US" w:eastAsia="zh-CN" w:bidi="ar-SA"/>
        </w:rPr>
        <w:t>（一）资质要求</w:t>
      </w:r>
      <w:bookmarkEnd w:id="38"/>
      <w:bookmarkEnd w:id="39"/>
      <w:bookmarkEnd w:id="40"/>
      <w:bookmarkEnd w:id="41"/>
      <w:bookmarkEnd w:id="42"/>
    </w:p>
    <w:p w14:paraId="21C221F2">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1.申报企业为已取得本次集中带量采购产品合法资质的医疗器械注册人（含备案人，下同）。境外医疗器械注册人应当指定我国境内企业法人协助其履行相应的法律义务，委托其作为申报企业。同一境外医疗器械注册人（代理人或报关企业）的产品不得委托不同企业进行申报。不同境外医疗器械注册人（代理人或报关企业）委托同一家企业申报的，如医疗器械注册人非同一实际控制人，且不存在控股关系，则根据医疗器械注册人数量视为多个申报企业。如医疗器械注册人为同一实际控制人或存在控股关系，则视为同一申报企业。</w:t>
      </w:r>
    </w:p>
    <w:p w14:paraId="624BAD64">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2.申报企业的产品应当符合国家有关部门的质量标准要求，并按国家有关部门要求组织生产。</w:t>
      </w:r>
    </w:p>
    <w:p w14:paraId="43A95883">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3.申报企业应遵守《中华人民共和国民法典》《中华人民共和国价格法》《中华人民共和国专利法》《中华人民共和国反不正当竞争法》《中华人民共和国反垄断法》等相关法律法规。</w:t>
      </w:r>
    </w:p>
    <w:p w14:paraId="342BFF87">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4.不接受被列入《全国医药价格和招采失信企业风险警示名单》和被我省评定为失信等级“特别严重”的企业申报。</w:t>
      </w:r>
    </w:p>
    <w:p w14:paraId="50CC29DD">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5.申报企业应具有履行合同必须具备的能力，一旦中选，作为保障质量、供应的第一责任人，应及时、保质、足量按要求组织生产，并向配送企业发送医用耗材，满足医疗机构临床需求。</w:t>
      </w:r>
    </w:p>
    <w:p w14:paraId="2D721065">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6.申报企业应指定人员为授权人代表负责本次联盟采购活动的管理，并承担相应法律责任。</w:t>
      </w:r>
    </w:p>
    <w:p w14:paraId="1C9F1179">
      <w:pPr>
        <w:pStyle w:val="8"/>
        <w:keepNext w:val="0"/>
        <w:keepLines w:val="0"/>
        <w:pageBreakBefore w:val="0"/>
        <w:widowControl w:val="0"/>
        <w:kinsoku/>
        <w:wordWrap/>
        <w:overflowPunct/>
        <w:topLinePunct w:val="0"/>
        <w:autoSpaceDE w:val="0"/>
        <w:autoSpaceDN w:val="0"/>
        <w:bidi w:val="0"/>
        <w:snapToGrid/>
        <w:spacing w:before="0" w:line="580" w:lineRule="exact"/>
        <w:ind w:left="0" w:right="0" w:rightChars="0" w:firstLine="640"/>
        <w:textAlignment w:val="auto"/>
        <w:outlineLvl w:val="2"/>
        <w:rPr>
          <w:rFonts w:hint="eastAsia" w:ascii="楷体_GB2312" w:hAnsi="楷体_GB2312" w:eastAsia="楷体_GB2312" w:cs="楷体_GB2312"/>
          <w:b w:val="0"/>
          <w:bCs/>
          <w:sz w:val="32"/>
          <w:szCs w:val="22"/>
          <w:highlight w:val="none"/>
          <w:lang w:val="en-US" w:eastAsia="zh-CN" w:bidi="ar-SA"/>
        </w:rPr>
      </w:pPr>
      <w:bookmarkStart w:id="43" w:name="_Toc1110401109"/>
      <w:bookmarkStart w:id="44" w:name="_Toc447552132"/>
      <w:bookmarkStart w:id="45" w:name="_Toc1252836716"/>
      <w:bookmarkStart w:id="46" w:name="_Toc25825"/>
      <w:bookmarkStart w:id="47" w:name="_Toc1850347452"/>
      <w:r>
        <w:rPr>
          <w:rFonts w:hint="eastAsia" w:ascii="楷体_GB2312" w:hAnsi="楷体_GB2312" w:eastAsia="楷体_GB2312" w:cs="楷体_GB2312"/>
          <w:b w:val="0"/>
          <w:bCs/>
          <w:sz w:val="32"/>
          <w:szCs w:val="22"/>
          <w:highlight w:val="none"/>
          <w:lang w:val="en-US" w:eastAsia="zh-CN" w:bidi="ar-SA"/>
        </w:rPr>
        <w:t>（二）其他要求</w:t>
      </w:r>
      <w:bookmarkEnd w:id="43"/>
      <w:bookmarkEnd w:id="44"/>
      <w:bookmarkEnd w:id="45"/>
      <w:bookmarkEnd w:id="46"/>
      <w:bookmarkEnd w:id="47"/>
    </w:p>
    <w:p w14:paraId="19E654F6">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1.</w:t>
      </w:r>
      <w:r>
        <w:rPr>
          <w:rFonts w:hint="eastAsia" w:ascii="仿宋_GB2312" w:hAnsi="仿宋_GB2312" w:eastAsia="仿宋_GB2312" w:cs="仿宋_GB2312"/>
          <w:spacing w:val="-1"/>
          <w:sz w:val="32"/>
          <w:szCs w:val="32"/>
          <w:highlight w:val="none"/>
        </w:rPr>
        <w:t>申报企业不得以欺诈、串通投标、滥用市场支配地位等方式竞标扰乱集中采购秩序。</w:t>
      </w:r>
    </w:p>
    <w:p w14:paraId="09BC3FE4">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2.</w:t>
      </w:r>
      <w:r>
        <w:rPr>
          <w:rFonts w:hint="eastAsia" w:ascii="仿宋_GB2312" w:hAnsi="仿宋_GB2312" w:eastAsia="仿宋_GB2312" w:cs="仿宋_GB2312"/>
          <w:spacing w:val="-1"/>
          <w:sz w:val="32"/>
          <w:szCs w:val="32"/>
          <w:highlight w:val="none"/>
        </w:rPr>
        <w:t>申报企业涉嫌未如实提供申报资料及相关证明材料，情节严重的，取消该企业参与</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rPr>
        <w:t>资格，并按有关规定处理。</w:t>
      </w:r>
    </w:p>
    <w:p w14:paraId="1AD70806">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3.</w:t>
      </w:r>
      <w:r>
        <w:rPr>
          <w:rFonts w:hint="eastAsia" w:ascii="仿宋_GB2312" w:hAnsi="仿宋_GB2312" w:eastAsia="仿宋_GB2312" w:cs="仿宋_GB2312"/>
          <w:spacing w:val="-1"/>
          <w:sz w:val="32"/>
          <w:szCs w:val="32"/>
          <w:highlight w:val="none"/>
        </w:rPr>
        <w:t>企业申投诉应依法依规在公示期内提供合法有效证据材料，恶意质疑投诉的企业纳入不良记录管理。</w:t>
      </w:r>
    </w:p>
    <w:p w14:paraId="56AFDBF6">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4.</w:t>
      </w:r>
      <w:r>
        <w:rPr>
          <w:rFonts w:hint="eastAsia" w:ascii="仿宋_GB2312" w:hAnsi="仿宋_GB2312" w:eastAsia="仿宋_GB2312" w:cs="仿宋_GB2312"/>
          <w:spacing w:val="-1"/>
          <w:sz w:val="32"/>
          <w:szCs w:val="32"/>
          <w:highlight w:val="none"/>
        </w:rPr>
        <w:t>申报企业中选后，须按要求签订带量购销</w:t>
      </w:r>
      <w:r>
        <w:rPr>
          <w:rFonts w:hint="eastAsia" w:ascii="仿宋_GB2312" w:hAnsi="仿宋_GB2312" w:eastAsia="仿宋_GB2312" w:cs="仿宋_GB2312"/>
          <w:spacing w:val="-1"/>
          <w:sz w:val="32"/>
          <w:szCs w:val="32"/>
          <w:highlight w:val="none"/>
          <w:lang w:eastAsia="zh-CN"/>
        </w:rPr>
        <w:t>合同</w:t>
      </w:r>
      <w:r>
        <w:rPr>
          <w:rFonts w:hint="eastAsia" w:ascii="仿宋_GB2312" w:hAnsi="仿宋_GB2312" w:eastAsia="仿宋_GB2312" w:cs="仿宋_GB2312"/>
          <w:spacing w:val="-1"/>
          <w:sz w:val="32"/>
          <w:szCs w:val="32"/>
          <w:highlight w:val="none"/>
        </w:rPr>
        <w:t>。</w:t>
      </w:r>
    </w:p>
    <w:p w14:paraId="4E434CBC">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lang w:val="en-US" w:eastAsia="zh-CN"/>
        </w:rPr>
        <w:t>5.</w:t>
      </w:r>
      <w:bookmarkStart w:id="48" w:name="6.中选医用耗材在履行合同中如遇国家政策调整或不可抗力，致使直接影响协议履行的，"/>
      <w:bookmarkEnd w:id="48"/>
      <w:bookmarkStart w:id="49" w:name="6.中选医用耗材在履行合同中如遇国家政策调整或不可抗力，致使直接影响协议履行的，"/>
      <w:bookmarkEnd w:id="49"/>
      <w:r>
        <w:rPr>
          <w:rFonts w:hint="eastAsia" w:ascii="仿宋_GB2312" w:hAnsi="仿宋_GB2312" w:eastAsia="仿宋_GB2312" w:cs="仿宋_GB2312"/>
          <w:spacing w:val="-1"/>
          <w:sz w:val="32"/>
          <w:szCs w:val="32"/>
          <w:highlight w:val="none"/>
        </w:rPr>
        <w:t>中选医用耗材在履行合同中，如同产品在全</w:t>
      </w:r>
      <w:r>
        <w:rPr>
          <w:rFonts w:hint="eastAsia" w:ascii="仿宋_GB2312" w:hAnsi="仿宋_GB2312" w:eastAsia="仿宋_GB2312" w:cs="仿宋_GB2312"/>
          <w:spacing w:val="-1"/>
          <w:sz w:val="32"/>
          <w:szCs w:val="32"/>
          <w:highlight w:val="none"/>
          <w:lang w:val="en-US" w:eastAsia="zh-CN"/>
        </w:rPr>
        <w:t>国</w:t>
      </w:r>
      <w:r>
        <w:rPr>
          <w:rFonts w:hint="eastAsia" w:ascii="仿宋_GB2312" w:hAnsi="仿宋_GB2312" w:eastAsia="仿宋_GB2312" w:cs="仿宋_GB2312"/>
          <w:spacing w:val="-1"/>
          <w:sz w:val="32"/>
          <w:szCs w:val="32"/>
          <w:highlight w:val="none"/>
        </w:rPr>
        <w:t>其他地市级（含联盟）及以上集中采购（含带量采购）中</w:t>
      </w:r>
      <w:r>
        <w:rPr>
          <w:rFonts w:hint="eastAsia" w:ascii="仿宋_GB2312" w:hAnsi="仿宋_GB2312" w:eastAsia="仿宋_GB2312" w:cs="仿宋_GB2312"/>
          <w:spacing w:val="-1"/>
          <w:sz w:val="32"/>
          <w:szCs w:val="32"/>
          <w:highlight w:val="none"/>
          <w:lang w:val="en-US" w:eastAsia="zh-CN"/>
        </w:rPr>
        <w:t>新</w:t>
      </w:r>
      <w:r>
        <w:rPr>
          <w:rFonts w:hint="eastAsia" w:ascii="仿宋_GB2312" w:hAnsi="仿宋_GB2312" w:eastAsia="仿宋_GB2312" w:cs="仿宋_GB2312"/>
          <w:spacing w:val="-1"/>
          <w:sz w:val="32"/>
          <w:szCs w:val="32"/>
          <w:highlight w:val="none"/>
        </w:rPr>
        <w:t>产生更低中选价格，价格须相应联动。</w:t>
      </w:r>
    </w:p>
    <w:p w14:paraId="477D3323">
      <w:pPr>
        <w:pStyle w:val="23"/>
        <w:keepNext w:val="0"/>
        <w:keepLines w:val="0"/>
        <w:pageBreakBefore w:val="0"/>
        <w:widowControl w:val="0"/>
        <w:numPr>
          <w:ilvl w:val="0"/>
          <w:numId w:val="0"/>
        </w:numPr>
        <w:tabs>
          <w:tab w:val="left" w:pos="1066"/>
        </w:tabs>
        <w:kinsoku/>
        <w:wordWrap/>
        <w:overflowPunct/>
        <w:topLinePunct w:val="0"/>
        <w:autoSpaceDE w:val="0"/>
        <w:autoSpaceDN w:val="0"/>
        <w:bidi w:val="0"/>
        <w:snapToGrid/>
        <w:spacing w:before="0" w:after="0" w:line="580" w:lineRule="exact"/>
        <w:ind w:left="0" w:right="0" w:rightChars="0" w:firstLine="636" w:firstLineChars="200"/>
        <w:jc w:val="both"/>
        <w:textAlignment w:val="auto"/>
        <w:rPr>
          <w:rFonts w:hint="eastAsia"/>
          <w:spacing w:val="-1"/>
          <w:sz w:val="31"/>
          <w:highlight w:val="none"/>
        </w:rPr>
      </w:pPr>
      <w:r>
        <w:rPr>
          <w:rFonts w:hint="eastAsia" w:ascii="仿宋_GB2312" w:hAnsi="仿宋_GB2312" w:eastAsia="仿宋_GB2312" w:cs="仿宋_GB2312"/>
          <w:spacing w:val="-1"/>
          <w:sz w:val="32"/>
          <w:szCs w:val="32"/>
          <w:highlight w:val="none"/>
          <w:lang w:val="en-US" w:eastAsia="zh-CN"/>
        </w:rPr>
        <w:t>6.</w:t>
      </w:r>
      <w:r>
        <w:rPr>
          <w:rFonts w:hint="eastAsia" w:ascii="仿宋_GB2312" w:hAnsi="仿宋_GB2312" w:eastAsia="仿宋_GB2312" w:cs="仿宋_GB2312"/>
          <w:spacing w:val="-1"/>
          <w:sz w:val="32"/>
          <w:szCs w:val="32"/>
          <w:highlight w:val="none"/>
        </w:rPr>
        <w:t>中选医用耗材在履行合同中如遇国家政策调整或不可抗力，致使直接影响协议履行的，由签订购销</w:t>
      </w:r>
      <w:r>
        <w:rPr>
          <w:rFonts w:hint="eastAsia" w:ascii="仿宋_GB2312" w:hAnsi="仿宋_GB2312" w:eastAsia="仿宋_GB2312" w:cs="仿宋_GB2312"/>
          <w:spacing w:val="-1"/>
          <w:sz w:val="32"/>
          <w:szCs w:val="32"/>
          <w:highlight w:val="none"/>
          <w:lang w:eastAsia="zh-CN"/>
        </w:rPr>
        <w:t>合同</w:t>
      </w:r>
      <w:r>
        <w:rPr>
          <w:rFonts w:hint="eastAsia" w:ascii="仿宋_GB2312" w:hAnsi="仿宋_GB2312" w:eastAsia="仿宋_GB2312" w:cs="仿宋_GB2312"/>
          <w:spacing w:val="-1"/>
          <w:sz w:val="32"/>
          <w:szCs w:val="32"/>
          <w:highlight w:val="none"/>
        </w:rPr>
        <w:t>中的各方协商解决。</w:t>
      </w:r>
    </w:p>
    <w:p w14:paraId="7636DF3B">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50" w:name="五、采购执行说明"/>
      <w:bookmarkEnd w:id="50"/>
      <w:bookmarkStart w:id="51" w:name="_Toc91790949"/>
      <w:bookmarkStart w:id="52" w:name="_Toc1915664457"/>
      <w:bookmarkStart w:id="53" w:name="_Toc31004"/>
      <w:bookmarkStart w:id="54" w:name="_Toc1520950730"/>
      <w:bookmarkStart w:id="55" w:name="_Toc878546533"/>
      <w:bookmarkStart w:id="56" w:name="_Toc536155550"/>
      <w:r>
        <w:rPr>
          <w:rFonts w:hint="eastAsia" w:ascii="黑体" w:hAnsi="黑体" w:eastAsia="黑体" w:cs="黑体"/>
          <w:b w:val="0"/>
          <w:bCs w:val="0"/>
          <w:highlight w:val="none"/>
          <w:lang w:eastAsia="zh-CN"/>
        </w:rPr>
        <w:t>五、采购执行说明</w:t>
      </w:r>
      <w:bookmarkEnd w:id="51"/>
      <w:bookmarkEnd w:id="52"/>
      <w:bookmarkEnd w:id="53"/>
      <w:bookmarkEnd w:id="54"/>
      <w:bookmarkEnd w:id="55"/>
      <w:bookmarkEnd w:id="56"/>
    </w:p>
    <w:p w14:paraId="357D5DEF">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（一）联盟地市所有公立医疗机构（含军队医疗机构，下同）均应按规定参加医用耗材集中带量采购。鼓励医保定点社会办医疗机构在进一步完善医用耗材进销存管理、确保医用耗材货款及时结算的基础上参与。</w:t>
      </w:r>
    </w:p>
    <w:p w14:paraId="503594D6">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（二）集中带量采购结果执行周期中，各有关医疗机构应优先使用集中带量采购中选产品，并确保完成签约中选产品的协议采购量。</w:t>
      </w:r>
    </w:p>
    <w:p w14:paraId="4414857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（三）各有关医疗机构在完成中选产品协议采购量的基础上，剩余用量可适量采购同品种价格适宜的其他医用耗材。</w:t>
      </w:r>
    </w:p>
    <w:p w14:paraId="04901FC5">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四）各有关医疗机构应畅通集中带量采购中选产品采购使用渠道，确保完成协议采购量。各级医保部门和医疗机构不得以医疗机构医用耗材使用品种数量、医用耗材管理委员会评审为由影响中选产品的合理使用。</w:t>
      </w:r>
    </w:p>
    <w:p w14:paraId="1F36F41A">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（五）采购周期内，如中选产品注册证有更新，新证上应体现与旧证的关联性，中选资格及中选价格维持不变。</w:t>
      </w:r>
    </w:p>
    <w:p w14:paraId="596D78CB">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（六）采购周期内，对于本批次集采网上申报产品资料截止日后的新获批产品，医疗机构采购价格不高于同竞价单元中选产品中位价的，不纳入非中选统计。</w:t>
      </w:r>
    </w:p>
    <w:p w14:paraId="0E660696">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57" w:name="六、采购周期与采购协议"/>
      <w:bookmarkEnd w:id="57"/>
      <w:bookmarkStart w:id="58" w:name="_Toc1781507006"/>
      <w:bookmarkStart w:id="59" w:name="_Toc1121068869"/>
      <w:bookmarkStart w:id="60" w:name="_Toc913838032"/>
      <w:bookmarkStart w:id="61" w:name="_Toc802049744"/>
      <w:bookmarkStart w:id="62" w:name="_Toc17379"/>
      <w:bookmarkStart w:id="63" w:name="_Toc389626496"/>
      <w:r>
        <w:rPr>
          <w:rFonts w:hint="eastAsia" w:ascii="黑体" w:hAnsi="黑体" w:eastAsia="黑体" w:cs="黑体"/>
          <w:b w:val="0"/>
          <w:bCs w:val="0"/>
          <w:highlight w:val="none"/>
          <w:lang w:eastAsia="zh-CN"/>
        </w:rPr>
        <w:t>六、采购周期与采购协议</w:t>
      </w:r>
      <w:bookmarkEnd w:id="58"/>
      <w:bookmarkEnd w:id="59"/>
      <w:bookmarkEnd w:id="60"/>
      <w:bookmarkEnd w:id="61"/>
      <w:bookmarkEnd w:id="62"/>
      <w:bookmarkEnd w:id="63"/>
    </w:p>
    <w:p w14:paraId="77C0A0C6">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（一）采购周期自中选结果实际执行日起计算，原则上为2年。</w:t>
      </w:r>
    </w:p>
    <w:p w14:paraId="29AF92D3">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（二）采购周期内若提前完成当年协议采购量，超过部分中选企业仍应按中选价格进行供应，直至采购周期届满。</w:t>
      </w:r>
    </w:p>
    <w:p w14:paraId="77E81FB6">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（三）采购周期内相关医用耗材品类纳入国家、省级及省际联盟组织集中带量采购，按要求执行相关带量采购结果。</w:t>
      </w:r>
    </w:p>
    <w:p w14:paraId="769298D8">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64" w:name="七、申报方式"/>
      <w:bookmarkEnd w:id="64"/>
      <w:bookmarkStart w:id="65" w:name="_Toc394867356"/>
      <w:bookmarkStart w:id="66" w:name="_Toc1571243368"/>
      <w:bookmarkStart w:id="67" w:name="_Toc1930446152"/>
      <w:bookmarkStart w:id="68" w:name="_Toc488387941"/>
      <w:bookmarkStart w:id="69" w:name="_Toc22935"/>
      <w:bookmarkStart w:id="70" w:name="_Toc282191325"/>
      <w:r>
        <w:rPr>
          <w:rFonts w:hint="eastAsia" w:ascii="黑体" w:hAnsi="黑体" w:eastAsia="黑体" w:cs="黑体"/>
          <w:b w:val="0"/>
          <w:bCs w:val="0"/>
          <w:highlight w:val="none"/>
          <w:lang w:eastAsia="zh-CN"/>
        </w:rPr>
        <w:t>七、申报方式</w:t>
      </w:r>
      <w:bookmarkEnd w:id="65"/>
      <w:bookmarkEnd w:id="66"/>
      <w:bookmarkEnd w:id="67"/>
      <w:bookmarkEnd w:id="68"/>
      <w:bookmarkEnd w:id="69"/>
      <w:bookmarkEnd w:id="70"/>
    </w:p>
    <w:p w14:paraId="25C1465E">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lang w:val="en-US" w:eastAsia="zh-CN"/>
        </w:rPr>
        <w:t>采用网上申报的方式进行。申报企业须注册并登录联盟集采网址进行网上医用耗材申报、资料提交、信息澄清、报价等相关操作。</w:t>
      </w:r>
    </w:p>
    <w:p w14:paraId="78FA8D8D">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71" w:name="_Toc617830646"/>
      <w:bookmarkStart w:id="72" w:name="_Toc1328424262"/>
      <w:bookmarkStart w:id="73" w:name="_Toc825537788"/>
      <w:bookmarkStart w:id="74" w:name="_Toc20757"/>
      <w:bookmarkStart w:id="75" w:name="_Toc1875903523"/>
      <w:bookmarkStart w:id="76" w:name="_Toc280878817"/>
      <w:r>
        <w:rPr>
          <w:rFonts w:hint="eastAsia" w:ascii="黑体" w:hAnsi="黑体" w:eastAsia="黑体" w:cs="黑体"/>
          <w:b w:val="0"/>
          <w:bCs w:val="0"/>
          <w:highlight w:val="none"/>
          <w:lang w:eastAsia="zh-CN"/>
        </w:rPr>
        <w:t>八、工作流程</w:t>
      </w:r>
      <w:bookmarkEnd w:id="71"/>
      <w:bookmarkEnd w:id="72"/>
      <w:bookmarkEnd w:id="73"/>
      <w:bookmarkEnd w:id="74"/>
      <w:bookmarkEnd w:id="75"/>
      <w:bookmarkEnd w:id="76"/>
    </w:p>
    <w:p w14:paraId="05EF8DD1">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8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本次联盟采购工作流程如下，具体时间安排及工作要求另行通知。</w:t>
      </w:r>
    </w:p>
    <w:p w14:paraId="18237746">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default" w:eastAsia="宋体"/>
          <w:sz w:val="24"/>
          <w:szCs w:val="24"/>
          <w:highlight w:val="none"/>
          <w:lang w:val="en-US" w:eastAsia="zh-CN"/>
        </w:rPr>
      </w:pP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1648460</wp:posOffset>
                </wp:positionH>
                <wp:positionV relativeFrom="paragraph">
                  <wp:posOffset>181610</wp:posOffset>
                </wp:positionV>
                <wp:extent cx="2454910" cy="273685"/>
                <wp:effectExtent l="4445" t="4445" r="17145" b="7620"/>
                <wp:wrapNone/>
                <wp:docPr id="7" name="文本框 33"/>
                <wp:cNvGraphicFramePr/>
                <a:graphic xmlns:a="http://schemas.openxmlformats.org/drawingml/2006/main">
                  <a:graphicData uri="http://schemas.microsoft.com/office/word/2010/wordprocessingShape">
                    <wps:wsp>
                      <wps:cNvSpPr txBox="1"/>
                      <wps:spPr>
                        <a:xfrm>
                          <a:off x="0" y="0"/>
                          <a:ext cx="2454910" cy="273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85602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医疗机构申报历史量和需求量</w:t>
                            </w:r>
                          </w:p>
                        </w:txbxContent>
                      </wps:txbx>
                      <wps:bodyPr wrap="square" upright="1"/>
                    </wps:wsp>
                  </a:graphicData>
                </a:graphic>
              </wp:anchor>
            </w:drawing>
          </mc:Choice>
          <mc:Fallback>
            <w:pict>
              <v:shape id="文本框 33" o:spid="_x0000_s1026" o:spt="202" type="#_x0000_t202" style="position:absolute;left:0pt;margin-left:129.8pt;margin-top:14.3pt;height:21.55pt;width:193.3pt;z-index:251662336;mso-width-relative:page;mso-height-relative:page;" fillcolor="#FFFFFF" filled="t" stroked="t" coordsize="21600,21600" o:gfxdata="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B293XYAAAA&#10;CQEAAA8AAAAAAAAAAQAgAAAAIgAAAGRycy9kb3ducmV2LnhtbFBLAQIUABQAAAAIAIdO4kB4XNww&#10;HQIAAFMEAAAOAAAAAAAAAAEAIAAAACcBAABkcnMvZTJvRG9jLnhtbFBLBQYAAAAABgAGAFkBAAC2&#10;BQAAAAA=&#10;">
                <v:fill on="t" focussize="0,0"/>
                <v:stroke color="#000000" joinstyle="miter"/>
                <v:imagedata o:title=""/>
                <o:lock v:ext="edit" aspectratio="f"/>
                <v:textbox>
                  <w:txbxContent>
                    <w:p w14:paraId="6F85602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医疗机构申报历史量和需求量</w:t>
                      </w:r>
                    </w:p>
                  </w:txbxContent>
                </v:textbox>
              </v:shape>
            </w:pict>
          </mc:Fallback>
        </mc:AlternateContent>
      </w:r>
    </w:p>
    <w:p w14:paraId="6F0C82AD">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ascii="东文宋体" w:hAnsi="东文宋体" w:eastAsia="东文宋体" w:cs="东文宋体"/>
          <w:sz w:val="24"/>
          <w:szCs w:val="24"/>
          <w:highlight w:val="none"/>
        </w:rPr>
      </w:pPr>
      <w:r>
        <w:rPr>
          <w:rFonts w:hint="eastAsia" w:ascii="东文宋体" w:hAnsi="东文宋体" w:eastAsia="东文宋体" w:cs="东文宋体"/>
          <w:sz w:val="24"/>
          <w:szCs w:val="24"/>
          <w:highlight w:val="none"/>
        </w:rPr>
        <w:t>↓</w:t>
      </w:r>
    </w:p>
    <w:p w14:paraId="40EA7F2E">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default" w:ascii="东文宋体" w:hAnsi="东文宋体" w:eastAsia="东文宋体" w:cs="东文宋体"/>
          <w:sz w:val="24"/>
          <w:szCs w:val="24"/>
          <w:highlight w:val="none"/>
          <w:lang w:val="en-US"/>
        </w:rPr>
      </w:pPr>
      <w:r>
        <w:rPr>
          <w:sz w:val="24"/>
          <w:highlight w:val="none"/>
        </w:rPr>
        <mc:AlternateContent>
          <mc:Choice Requires="wps">
            <w:drawing>
              <wp:anchor distT="0" distB="0" distL="114300" distR="114300" simplePos="0" relativeHeight="251660288" behindDoc="1" locked="0" layoutInCell="1" allowOverlap="1">
                <wp:simplePos x="0" y="0"/>
                <wp:positionH relativeFrom="column">
                  <wp:posOffset>1634490</wp:posOffset>
                </wp:positionH>
                <wp:positionV relativeFrom="paragraph">
                  <wp:posOffset>60960</wp:posOffset>
                </wp:positionV>
                <wp:extent cx="2454910" cy="302260"/>
                <wp:effectExtent l="4445" t="4445" r="17145" b="17145"/>
                <wp:wrapNone/>
                <wp:docPr id="1" name="文本框 32"/>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F3B523">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发布采购文件征求意见稿</w:t>
                            </w:r>
                          </w:p>
                        </w:txbxContent>
                      </wps:txbx>
                      <wps:bodyPr wrap="square" upright="1"/>
                    </wps:wsp>
                  </a:graphicData>
                </a:graphic>
              </wp:anchor>
            </w:drawing>
          </mc:Choice>
          <mc:Fallback>
            <w:pict>
              <v:shape id="文本框 32" o:spid="_x0000_s1026" o:spt="202" type="#_x0000_t202" style="position:absolute;left:0pt;margin-left:128.7pt;margin-top:4.8pt;height:23.8pt;width:193.3pt;z-index:-251656192;mso-width-relative:page;mso-height-relative:page;" fillcolor="#FFFFFF" filled="t" stroked="t" coordsize="21600,21600" o:gfxdata="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1n8p/YAAAA&#10;CAEAAA8AAAAAAAAAAQAgAAAAIgAAAGRycy9kb3ducmV2LnhtbFBLAQIUABQAAAAIAIdO4kBqTyh9&#10;HQIAAFMEAAAOAAAAAAAAAAEAIAAAACcBAABkcnMvZTJvRG9jLnhtbFBLBQYAAAAABgAGAFkBAAC2&#10;BQAAAAA=&#10;">
                <v:fill on="t" focussize="0,0"/>
                <v:stroke color="#000000" joinstyle="miter"/>
                <v:imagedata o:title=""/>
                <o:lock v:ext="edit" aspectratio="f"/>
                <v:textbox>
                  <w:txbxContent>
                    <w:p w14:paraId="03F3B523">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发布采购文件征求意见稿</w:t>
                      </w:r>
                    </w:p>
                  </w:txbxContent>
                </v:textbox>
              </v:shape>
            </w:pict>
          </mc:Fallback>
        </mc:AlternateContent>
      </w:r>
    </w:p>
    <w:p w14:paraId="7F31F699">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default" w:ascii="东文宋体" w:hAnsi="东文宋体" w:eastAsia="东文宋体" w:cs="东文宋体"/>
          <w:sz w:val="24"/>
          <w:szCs w:val="24"/>
          <w:highlight w:val="none"/>
          <w:lang w:val="en-US" w:eastAsia="zh-CN"/>
        </w:rPr>
      </w:pPr>
      <w:r>
        <w:rPr>
          <w:rFonts w:hint="eastAsia" w:ascii="东文宋体" w:hAnsi="东文宋体" w:eastAsia="东文宋体" w:cs="东文宋体"/>
          <w:sz w:val="24"/>
          <w:szCs w:val="24"/>
          <w:highlight w:val="none"/>
          <w:lang w:val="en-US" w:eastAsia="zh-CN"/>
        </w:rPr>
        <w:t>↓</w:t>
      </w:r>
    </w:p>
    <w:p w14:paraId="6DAC79EC">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default" w:ascii="东文宋体" w:hAnsi="东文宋体" w:eastAsia="东文宋体" w:cs="东文宋体"/>
          <w:sz w:val="24"/>
          <w:szCs w:val="24"/>
          <w:highlight w:val="none"/>
          <w:lang w:val="en-US" w:eastAsia="zh-CN"/>
        </w:rPr>
      </w:pPr>
      <w:r>
        <w:rPr>
          <w:sz w:val="24"/>
          <w:highlight w:val="none"/>
        </w:rPr>
        <mc:AlternateContent>
          <mc:Choice Requires="wps">
            <w:drawing>
              <wp:anchor distT="0" distB="0" distL="114300" distR="114300" simplePos="0" relativeHeight="251661312" behindDoc="1" locked="0" layoutInCell="1" allowOverlap="1">
                <wp:simplePos x="0" y="0"/>
                <wp:positionH relativeFrom="column">
                  <wp:posOffset>1642745</wp:posOffset>
                </wp:positionH>
                <wp:positionV relativeFrom="paragraph">
                  <wp:posOffset>59055</wp:posOffset>
                </wp:positionV>
                <wp:extent cx="2454910" cy="302260"/>
                <wp:effectExtent l="4445" t="4445" r="17145" b="17145"/>
                <wp:wrapNone/>
                <wp:docPr id="2" name="文本框 34"/>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08162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公布采购文件</w:t>
                            </w:r>
                          </w:p>
                          <w:p w14:paraId="00DD7929">
                            <w:pPr>
                              <w:rPr>
                                <w:rFonts w:hint="eastAsia"/>
                                <w:lang w:eastAsia="zh-CN"/>
                              </w:rPr>
                            </w:pPr>
                          </w:p>
                        </w:txbxContent>
                      </wps:txbx>
                      <wps:bodyPr wrap="square" upright="1"/>
                    </wps:wsp>
                  </a:graphicData>
                </a:graphic>
              </wp:anchor>
            </w:drawing>
          </mc:Choice>
          <mc:Fallback>
            <w:pict>
              <v:shape id="文本框 34" o:spid="_x0000_s1026" o:spt="202" type="#_x0000_t202" style="position:absolute;left:0pt;margin-left:129.35pt;margin-top:4.65pt;height:23.8pt;width:193.3pt;z-index:-251655168;mso-width-relative:page;mso-height-relative:page;" fillcolor="#FFFFFF" filled="t" stroked="t" coordsize="21600,21600" o:gfxdata="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ey/2tkA&#10;AAAIAQAADwAAAAAAAAABACAAAAAiAAAAZHJzL2Rvd25yZXYueG1sUEsBAhQAFAAAAAgAh07iQG23&#10;WlseAgAAUwQAAA4AAAAAAAAAAQAgAAAAKAEAAGRycy9lMm9Eb2MueG1sUEsFBgAAAAAGAAYAWQEA&#10;ALgFAAAAAA==&#10;">
                <v:fill on="t" focussize="0,0"/>
                <v:stroke color="#000000" joinstyle="miter"/>
                <v:imagedata o:title=""/>
                <o:lock v:ext="edit" aspectratio="f"/>
                <v:textbox>
                  <w:txbxContent>
                    <w:p w14:paraId="5E08162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公布采购文件</w:t>
                      </w:r>
                    </w:p>
                    <w:p w14:paraId="00DD7929">
                      <w:pPr>
                        <w:rPr>
                          <w:rFonts w:hint="eastAsia"/>
                          <w:lang w:eastAsia="zh-CN"/>
                        </w:rPr>
                      </w:pPr>
                    </w:p>
                  </w:txbxContent>
                </v:textbox>
              </v:shape>
            </w:pict>
          </mc:Fallback>
        </mc:AlternateContent>
      </w:r>
    </w:p>
    <w:p w14:paraId="2DF9FCAD">
      <w:pPr>
        <w:keepNext w:val="0"/>
        <w:keepLines w:val="0"/>
        <w:pageBreakBefore w:val="0"/>
        <w:widowControl w:val="0"/>
        <w:tabs>
          <w:tab w:val="left" w:pos="1925"/>
          <w:tab w:val="center" w:pos="5155"/>
        </w:tabs>
        <w:kinsoku/>
        <w:wordWrap/>
        <w:overflowPunct/>
        <w:topLinePunct w:val="0"/>
        <w:autoSpaceDE/>
        <w:autoSpaceDN/>
        <w:bidi w:val="0"/>
        <w:adjustRightInd/>
        <w:snapToGrid/>
        <w:spacing w:line="560" w:lineRule="exact"/>
        <w:ind w:right="508" w:rightChars="231" w:firstLine="4070" w:firstLineChars="1850"/>
        <w:jc w:val="left"/>
        <w:textAlignment w:val="auto"/>
        <w:rPr>
          <w:rFonts w:hint="default" w:eastAsia="仿宋"/>
          <w:sz w:val="24"/>
          <w:szCs w:val="24"/>
          <w:highlight w:val="none"/>
          <w:lang w:val="en-US" w:eastAsia="zh-CN"/>
        </w:rPr>
      </w:pPr>
      <w:r>
        <w:rPr>
          <w:rFonts w:hint="eastAsia"/>
          <w:highlight w:val="none"/>
          <w:lang w:val="en-US" w:eastAsia="zh-CN"/>
        </w:rPr>
        <w:t xml:space="preserve">   </w:t>
      </w:r>
      <w:r>
        <w:rPr>
          <w:rFonts w:hint="eastAsia" w:ascii="东文宋体" w:hAnsi="东文宋体" w:eastAsia="东文宋体" w:cs="东文宋体"/>
          <w:sz w:val="24"/>
          <w:szCs w:val="24"/>
          <w:highlight w:val="none"/>
          <w:lang w:val="en-US" w:eastAsia="zh-CN"/>
        </w:rPr>
        <w:t>↓</w:t>
      </w:r>
    </w:p>
    <w:p w14:paraId="37B27CC5">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1626870</wp:posOffset>
                </wp:positionH>
                <wp:positionV relativeFrom="paragraph">
                  <wp:posOffset>85090</wp:posOffset>
                </wp:positionV>
                <wp:extent cx="2477770" cy="302260"/>
                <wp:effectExtent l="4445" t="4445" r="13335" b="17145"/>
                <wp:wrapNone/>
                <wp:docPr id="8" name="文本框 35"/>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FAFC9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网上申报企业及产品资料</w:t>
                            </w:r>
                          </w:p>
                          <w:p w14:paraId="213D2443">
                            <w:pPr>
                              <w:rPr>
                                <w:rFonts w:hint="default"/>
                                <w:lang w:val="en-US" w:eastAsia="zh-CN"/>
                              </w:rPr>
                            </w:pPr>
                            <w:r>
                              <w:rPr>
                                <w:rFonts w:hint="eastAsia"/>
                                <w:lang w:val="en-US" w:eastAsia="zh-CN"/>
                              </w:rPr>
                              <w:t xml:space="preserve"> </w:t>
                            </w:r>
                          </w:p>
                        </w:txbxContent>
                      </wps:txbx>
                      <wps:bodyPr wrap="square" upright="1"/>
                    </wps:wsp>
                  </a:graphicData>
                </a:graphic>
              </wp:anchor>
            </w:drawing>
          </mc:Choice>
          <mc:Fallback>
            <w:pict>
              <v:shape id="文本框 35" o:spid="_x0000_s1026" o:spt="202" type="#_x0000_t202" style="position:absolute;left:0pt;margin-left:128.1pt;margin-top:6.7pt;height:23.8pt;width:195.1pt;z-index:251663360;mso-width-relative:page;mso-height-relative:page;" fillcolor="#FFFFFF" filled="t" stroked="t" coordsize="21600,21600" o:gfxdata="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l7s07XAAAA&#10;CQEAAA8AAAAAAAAAAQAgAAAAIgAAAGRycy9kb3ducmV2LnhtbFBLAQIUABQAAAAIAIdO4kAFVV8q&#10;HgIAAFMEAAAOAAAAAAAAAAEAIAAAACYBAABkcnMvZTJvRG9jLnhtbFBLBQYAAAAABgAGAFkBAAC2&#10;BQAAAAA=&#10;">
                <v:fill on="t" focussize="0,0"/>
                <v:stroke color="#000000" joinstyle="miter"/>
                <v:imagedata o:title=""/>
                <o:lock v:ext="edit" aspectratio="f"/>
                <v:textbox>
                  <w:txbxContent>
                    <w:p w14:paraId="0CFAFC9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网上申报企业及产品资料</w:t>
                      </w:r>
                    </w:p>
                    <w:p w14:paraId="213D2443">
                      <w:pPr>
                        <w:rPr>
                          <w:rFonts w:hint="default"/>
                          <w:lang w:val="en-US" w:eastAsia="zh-CN"/>
                        </w:rPr>
                      </w:pPr>
                      <w:r>
                        <w:rPr>
                          <w:rFonts w:hint="eastAsia"/>
                          <w:lang w:val="en-US" w:eastAsia="zh-CN"/>
                        </w:rPr>
                        <w:t xml:space="preserve"> </w:t>
                      </w:r>
                    </w:p>
                  </w:txbxContent>
                </v:textbox>
              </v:shape>
            </w:pict>
          </mc:Fallback>
        </mc:AlternateContent>
      </w:r>
    </w:p>
    <w:p w14:paraId="5A44D8C2">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14:paraId="0961E511">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1649730</wp:posOffset>
                </wp:positionH>
                <wp:positionV relativeFrom="paragraph">
                  <wp:posOffset>73025</wp:posOffset>
                </wp:positionV>
                <wp:extent cx="2454910" cy="302260"/>
                <wp:effectExtent l="4445" t="4445" r="17145" b="17145"/>
                <wp:wrapNone/>
                <wp:docPr id="9" name="文本框 36"/>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CC9128">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资质审核</w:t>
                            </w:r>
                          </w:p>
                          <w:p w14:paraId="4903C909">
                            <w:pPr>
                              <w:rPr>
                                <w:rFonts w:hint="eastAsia"/>
                              </w:rPr>
                            </w:pPr>
                          </w:p>
                        </w:txbxContent>
                      </wps:txbx>
                      <wps:bodyPr wrap="square" upright="1"/>
                    </wps:wsp>
                  </a:graphicData>
                </a:graphic>
              </wp:anchor>
            </w:drawing>
          </mc:Choice>
          <mc:Fallback>
            <w:pict>
              <v:shape id="文本框 36" o:spid="_x0000_s1026" o:spt="202" type="#_x0000_t202" style="position:absolute;left:0pt;margin-left:129.9pt;margin-top:5.75pt;height:23.8pt;width:193.3pt;z-index:251664384;mso-width-relative:page;mso-height-relative:page;" fillcolor="#FFFFFF" filled="t" stroked="t" coordsize="21600,21600" o:gfxdata="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5i8y7YAAAA&#10;CQEAAA8AAAAAAAAAAQAgAAAAIgAAAGRycy9kb3ducmV2LnhtbFBLAQIUABQAAAAIAIdO4kDBh2/j&#10;HQIAAFMEAAAOAAAAAAAAAAEAIAAAACcBAABkcnMvZTJvRG9jLnhtbFBLBQYAAAAABgAGAFkBAAC2&#10;BQAAAAA=&#10;">
                <v:fill on="t" focussize="0,0"/>
                <v:stroke color="#000000" joinstyle="miter"/>
                <v:imagedata o:title=""/>
                <o:lock v:ext="edit" aspectratio="f"/>
                <v:textbox>
                  <w:txbxContent>
                    <w:p w14:paraId="28CC9128">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资质审核</w:t>
                      </w:r>
                    </w:p>
                    <w:p w14:paraId="4903C909">
                      <w:pPr>
                        <w:rPr>
                          <w:rFonts w:hint="eastAsia"/>
                        </w:rPr>
                      </w:pPr>
                    </w:p>
                  </w:txbxContent>
                </v:textbox>
              </v:shape>
            </w:pict>
          </mc:Fallback>
        </mc:AlternateContent>
      </w:r>
    </w:p>
    <w:p w14:paraId="2DCA41F7">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14:paraId="4D65BD0E">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1650365</wp:posOffset>
                </wp:positionH>
                <wp:positionV relativeFrom="paragraph">
                  <wp:posOffset>91440</wp:posOffset>
                </wp:positionV>
                <wp:extent cx="2454910" cy="302260"/>
                <wp:effectExtent l="4445" t="4445" r="17145" b="17145"/>
                <wp:wrapNone/>
                <wp:docPr id="10" name="文本框 37"/>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51BDA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公示企业及产品申报情况</w:t>
                            </w:r>
                          </w:p>
                          <w:p w14:paraId="5A0C563E">
                            <w:pPr>
                              <w:jc w:val="center"/>
                              <w:rPr>
                                <w:rFonts w:hint="eastAsia" w:ascii="仿宋_GB2312" w:hAnsi="仿宋_GB2312" w:eastAsia="仿宋_GB2312" w:cs="仿宋_GB2312"/>
                                <w:sz w:val="24"/>
                                <w:szCs w:val="24"/>
                              </w:rPr>
                            </w:pPr>
                          </w:p>
                        </w:txbxContent>
                      </wps:txbx>
                      <wps:bodyPr wrap="square" upright="1"/>
                    </wps:wsp>
                  </a:graphicData>
                </a:graphic>
              </wp:anchor>
            </w:drawing>
          </mc:Choice>
          <mc:Fallback>
            <w:pict>
              <v:shape id="文本框 37" o:spid="_x0000_s1026" o:spt="202" type="#_x0000_t202" style="position:absolute;left:0pt;margin-left:129.95pt;margin-top:7.2pt;height:23.8pt;width:193.3pt;z-index:251665408;mso-width-relative:page;mso-height-relative:page;" fillcolor="#FFFFFF" filled="t" stroked="t" coordsize="21600,21600" o:gfxdata="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TQqP2QAA&#10;AAkBAAAPAAAAAAAAAAEAIAAAACIAAABkcnMvZG93bnJldi54bWxQSwECFAAUAAAACACHTuJAcxbu&#10;DR0CAABUBAAADgAAAAAAAAABACAAAAAoAQAAZHJzL2Uyb0RvYy54bWxQSwUGAAAAAAYABgBZAQAA&#10;twUAAAAA&#10;">
                <v:fill on="t" focussize="0,0"/>
                <v:stroke color="#000000" joinstyle="miter"/>
                <v:imagedata o:title=""/>
                <o:lock v:ext="edit" aspectratio="f"/>
                <v:textbox>
                  <w:txbxContent>
                    <w:p w14:paraId="1251BDA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公示企业及产品申报情况</w:t>
                      </w:r>
                    </w:p>
                    <w:p w14:paraId="5A0C563E">
                      <w:pPr>
                        <w:jc w:val="center"/>
                        <w:rPr>
                          <w:rFonts w:hint="eastAsia" w:ascii="仿宋_GB2312" w:hAnsi="仿宋_GB2312" w:eastAsia="仿宋_GB2312" w:cs="仿宋_GB2312"/>
                          <w:sz w:val="24"/>
                          <w:szCs w:val="24"/>
                        </w:rPr>
                      </w:pPr>
                    </w:p>
                  </w:txbxContent>
                </v:textbox>
              </v:shape>
            </w:pict>
          </mc:Fallback>
        </mc:AlternateContent>
      </w:r>
    </w:p>
    <w:p w14:paraId="7A7786AE">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ascii="东文宋体" w:hAnsi="东文宋体" w:eastAsia="东文宋体" w:cs="东文宋体"/>
          <w:sz w:val="24"/>
          <w:szCs w:val="24"/>
          <w:highlight w:val="none"/>
        </w:rPr>
      </w:pPr>
      <w:r>
        <w:rPr>
          <w:rFonts w:hint="eastAsia" w:ascii="东文宋体" w:hAnsi="东文宋体" w:eastAsia="东文宋体" w:cs="东文宋体"/>
          <w:sz w:val="24"/>
          <w:szCs w:val="24"/>
          <w:highlight w:val="none"/>
        </w:rPr>
        <w:t>↓</w:t>
      </w:r>
    </w:p>
    <w:p w14:paraId="7AC5599F">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ascii="东文宋体" w:hAnsi="东文宋体" w:eastAsia="东文宋体" w:cs="东文宋体"/>
          <w:sz w:val="24"/>
          <w:szCs w:val="24"/>
          <w:highlight w:val="none"/>
        </w:rPr>
      </w:pPr>
      <w:r>
        <w:rPr>
          <w:sz w:val="24"/>
          <w:highlight w:val="none"/>
        </w:rPr>
        <mc:AlternateContent>
          <mc:Choice Requires="wps">
            <w:drawing>
              <wp:anchor distT="0" distB="0" distL="114300" distR="114300" simplePos="0" relativeHeight="251677696" behindDoc="0" locked="0" layoutInCell="1" allowOverlap="1">
                <wp:simplePos x="0" y="0"/>
                <wp:positionH relativeFrom="column">
                  <wp:posOffset>1668145</wp:posOffset>
                </wp:positionH>
                <wp:positionV relativeFrom="paragraph">
                  <wp:posOffset>23495</wp:posOffset>
                </wp:positionV>
                <wp:extent cx="2454910" cy="302260"/>
                <wp:effectExtent l="6350" t="6350" r="27940" b="21590"/>
                <wp:wrapNone/>
                <wp:docPr id="3" name="文本框 40"/>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F64D79">
                            <w:pPr>
                              <w:rPr>
                                <w:rFonts w:hint="eastAsia" w:eastAsia="仿宋_GB2312"/>
                                <w:spacing w:val="-6"/>
                                <w:lang w:val="en-US" w:eastAsia="zh-CN"/>
                              </w:rPr>
                            </w:pPr>
                            <w:r>
                              <w:rPr>
                                <w:rFonts w:hint="eastAsia" w:ascii="仿宋_GB2312" w:hAnsi="仿宋_GB2312" w:eastAsia="仿宋_GB2312" w:cs="仿宋_GB2312"/>
                                <w:spacing w:val="-6"/>
                                <w:sz w:val="24"/>
                                <w:szCs w:val="24"/>
                              </w:rPr>
                              <w:t>公布符合申报条件企业及产品</w:t>
                            </w:r>
                            <w:r>
                              <w:rPr>
                                <w:rFonts w:hint="eastAsia" w:ascii="仿宋_GB2312" w:hAnsi="仿宋_GB2312" w:eastAsia="仿宋_GB2312" w:cs="仿宋_GB2312"/>
                                <w:spacing w:val="-6"/>
                                <w:sz w:val="24"/>
                                <w:szCs w:val="24"/>
                                <w:lang w:eastAsia="zh-CN"/>
                              </w:rPr>
                              <w:t>名单</w:t>
                            </w:r>
                          </w:p>
                        </w:txbxContent>
                      </wps:txbx>
                      <wps:bodyPr wrap="square" upright="1"/>
                    </wps:wsp>
                  </a:graphicData>
                </a:graphic>
              </wp:anchor>
            </w:drawing>
          </mc:Choice>
          <mc:Fallback>
            <w:pict>
              <v:shape id="文本框 40" o:spid="_x0000_s1026" o:spt="202" type="#_x0000_t202" style="position:absolute;left:0pt;margin-left:131.35pt;margin-top:1.85pt;height:23.8pt;width:193.3pt;z-index:251677696;mso-width-relative:page;mso-height-relative:page;" fillcolor="#FFFFFF" filled="t" stroked="t" coordsize="21600,21600" o:gfxdata="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0W1qS2QAA&#10;AAgBAAAPAAAAAAAAAAEAIAAAACIAAABkcnMvZG93bnJldi54bWxQSwECFAAUAAAACACHTuJAJxMY&#10;lR0CAABTBAAADgAAAAAAAAABACAAAAAoAQAAZHJzL2Uyb0RvYy54bWxQSwUGAAAAAAYABgBZAQAA&#10;twUAAAAA&#10;">
                <v:fill on="t" focussize="0,0"/>
                <v:stroke color="#000000" joinstyle="miter"/>
                <v:imagedata o:title=""/>
                <o:lock v:ext="edit" aspectratio="f"/>
                <v:textbox>
                  <w:txbxContent>
                    <w:p w14:paraId="78F64D79">
                      <w:pPr>
                        <w:rPr>
                          <w:rFonts w:hint="eastAsia" w:eastAsia="仿宋_GB2312"/>
                          <w:spacing w:val="-6"/>
                          <w:lang w:val="en-US" w:eastAsia="zh-CN"/>
                        </w:rPr>
                      </w:pPr>
                      <w:r>
                        <w:rPr>
                          <w:rFonts w:hint="eastAsia" w:ascii="仿宋_GB2312" w:hAnsi="仿宋_GB2312" w:eastAsia="仿宋_GB2312" w:cs="仿宋_GB2312"/>
                          <w:spacing w:val="-6"/>
                          <w:sz w:val="24"/>
                          <w:szCs w:val="24"/>
                        </w:rPr>
                        <w:t>公布符合申报条件企业及产品</w:t>
                      </w:r>
                      <w:r>
                        <w:rPr>
                          <w:rFonts w:hint="eastAsia" w:ascii="仿宋_GB2312" w:hAnsi="仿宋_GB2312" w:eastAsia="仿宋_GB2312" w:cs="仿宋_GB2312"/>
                          <w:spacing w:val="-6"/>
                          <w:sz w:val="24"/>
                          <w:szCs w:val="24"/>
                          <w:lang w:eastAsia="zh-CN"/>
                        </w:rPr>
                        <w:t>名单</w:t>
                      </w:r>
                    </w:p>
                  </w:txbxContent>
                </v:textbox>
              </v:shape>
            </w:pict>
          </mc:Fallback>
        </mc:AlternateContent>
      </w:r>
    </w:p>
    <w:p w14:paraId="6B97DC3D">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ascii="东文宋体" w:hAnsi="东文宋体" w:eastAsia="东文宋体" w:cs="东文宋体"/>
          <w:sz w:val="24"/>
          <w:szCs w:val="24"/>
          <w:highlight w:val="none"/>
        </w:rPr>
      </w:pPr>
      <w:r>
        <w:rPr>
          <w:rFonts w:hint="eastAsia" w:ascii="东文宋体" w:hAnsi="东文宋体" w:eastAsia="东文宋体" w:cs="东文宋体"/>
          <w:sz w:val="24"/>
          <w:szCs w:val="24"/>
          <w:highlight w:val="none"/>
          <w:lang w:eastAsia="zh-CN"/>
        </w:rPr>
        <w:t>↓</w:t>
      </w:r>
    </w:p>
    <w:p w14:paraId="16AA07F3">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default" w:eastAsia="宋体"/>
          <w:sz w:val="24"/>
          <w:szCs w:val="24"/>
          <w:highlight w:val="none"/>
          <w:lang w:val="en-US" w:eastAsia="zh-CN"/>
        </w:rPr>
      </w:pP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1670685</wp:posOffset>
                </wp:positionH>
                <wp:positionV relativeFrom="paragraph">
                  <wp:posOffset>41275</wp:posOffset>
                </wp:positionV>
                <wp:extent cx="2454910" cy="302260"/>
                <wp:effectExtent l="4445" t="4445" r="17145" b="17145"/>
                <wp:wrapNone/>
                <wp:docPr id="13" name="文本框 40"/>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EDF5E8">
                            <w:pPr>
                              <w:jc w:val="center"/>
                              <w:rPr>
                                <w:rFonts w:hint="default" w:eastAsia="仿宋_GB2312"/>
                                <w:lang w:val="en-US" w:eastAsia="zh-CN"/>
                              </w:rPr>
                            </w:pPr>
                            <w:r>
                              <w:rPr>
                                <w:rFonts w:hint="eastAsia" w:ascii="仿宋_GB2312" w:hAnsi="仿宋_GB2312" w:eastAsia="仿宋_GB2312" w:cs="仿宋_GB2312"/>
                                <w:sz w:val="24"/>
                                <w:szCs w:val="24"/>
                                <w:lang w:eastAsia="zh-CN"/>
                              </w:rPr>
                              <w:t>报价</w:t>
                            </w:r>
                            <w:r>
                              <w:rPr>
                                <w:rFonts w:hint="eastAsia" w:ascii="仿宋_GB2312" w:hAnsi="仿宋_GB2312" w:eastAsia="仿宋_GB2312" w:cs="仿宋_GB2312"/>
                                <w:sz w:val="24"/>
                                <w:szCs w:val="24"/>
                                <w:lang w:val="en-US" w:eastAsia="zh-CN"/>
                              </w:rPr>
                              <w:t>产生拟中选结果</w:t>
                            </w:r>
                          </w:p>
                        </w:txbxContent>
                      </wps:txbx>
                      <wps:bodyPr wrap="square" upright="1"/>
                    </wps:wsp>
                  </a:graphicData>
                </a:graphic>
              </wp:anchor>
            </w:drawing>
          </mc:Choice>
          <mc:Fallback>
            <w:pict>
              <v:shape id="文本框 40" o:spid="_x0000_s1026" o:spt="202" type="#_x0000_t202" style="position:absolute;left:0pt;margin-left:131.55pt;margin-top:3.25pt;height:23.8pt;width:193.3pt;z-index:251666432;mso-width-relative:page;mso-height-relative:page;" fillcolor="#FFFFFF" filled="t" stroked="t" coordsize="21600,21600" o:gfxdata="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ACfQ2QAA&#10;AAgBAAAPAAAAAAAAAAEAIAAAACIAAABkcnMvZG93bnJldi54bWxQSwECFAAUAAAACACHTuJAr4w6&#10;ux0CAABUBAAADgAAAAAAAAABACAAAAAoAQAAZHJzL2Uyb0RvYy54bWxQSwUGAAAAAAYABgBZAQAA&#10;twUAAAAA&#10;">
                <v:fill on="t" focussize="0,0"/>
                <v:stroke color="#000000" joinstyle="miter"/>
                <v:imagedata o:title=""/>
                <o:lock v:ext="edit" aspectratio="f"/>
                <v:textbox>
                  <w:txbxContent>
                    <w:p w14:paraId="4DEDF5E8">
                      <w:pPr>
                        <w:jc w:val="center"/>
                        <w:rPr>
                          <w:rFonts w:hint="default" w:eastAsia="仿宋_GB2312"/>
                          <w:lang w:val="en-US" w:eastAsia="zh-CN"/>
                        </w:rPr>
                      </w:pPr>
                      <w:r>
                        <w:rPr>
                          <w:rFonts w:hint="eastAsia" w:ascii="仿宋_GB2312" w:hAnsi="仿宋_GB2312" w:eastAsia="仿宋_GB2312" w:cs="仿宋_GB2312"/>
                          <w:sz w:val="24"/>
                          <w:szCs w:val="24"/>
                          <w:lang w:eastAsia="zh-CN"/>
                        </w:rPr>
                        <w:t>报价</w:t>
                      </w:r>
                      <w:r>
                        <w:rPr>
                          <w:rFonts w:hint="eastAsia" w:ascii="仿宋_GB2312" w:hAnsi="仿宋_GB2312" w:eastAsia="仿宋_GB2312" w:cs="仿宋_GB2312"/>
                          <w:sz w:val="24"/>
                          <w:szCs w:val="24"/>
                          <w:lang w:val="en-US" w:eastAsia="zh-CN"/>
                        </w:rPr>
                        <w:t>产生拟中选结果</w:t>
                      </w:r>
                    </w:p>
                  </w:txbxContent>
                </v:textbox>
              </v:shape>
            </w:pict>
          </mc:Fallback>
        </mc:AlternateContent>
      </w:r>
    </w:p>
    <w:p w14:paraId="4C7E9AD1">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eastAsia="宋体"/>
          <w:sz w:val="24"/>
          <w:szCs w:val="24"/>
          <w:highlight w:val="none"/>
          <w:lang w:eastAsia="zh-CN"/>
        </w:rPr>
      </w:pPr>
      <w:r>
        <w:rPr>
          <w:rFonts w:hint="eastAsia" w:ascii="东文宋体" w:hAnsi="东文宋体" w:eastAsia="东文宋体" w:cs="东文宋体"/>
          <w:sz w:val="24"/>
          <w:szCs w:val="24"/>
          <w:highlight w:val="none"/>
          <w:lang w:eastAsia="zh-CN"/>
        </w:rPr>
        <w:t>↓</w:t>
      </w:r>
    </w:p>
    <w:p w14:paraId="5294357C">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7456" behindDoc="0" locked="0" layoutInCell="1" allowOverlap="1">
                <wp:simplePos x="0" y="0"/>
                <wp:positionH relativeFrom="column">
                  <wp:posOffset>1659255</wp:posOffset>
                </wp:positionH>
                <wp:positionV relativeFrom="paragraph">
                  <wp:posOffset>32385</wp:posOffset>
                </wp:positionV>
                <wp:extent cx="2454910" cy="302260"/>
                <wp:effectExtent l="4445" t="4445" r="17145" b="17145"/>
                <wp:wrapNone/>
                <wp:docPr id="14" name="文本框 41"/>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94518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公示拟中选结果</w:t>
                            </w:r>
                          </w:p>
                          <w:p w14:paraId="06E80B03">
                            <w:pPr>
                              <w:jc w:val="center"/>
                            </w:pPr>
                          </w:p>
                        </w:txbxContent>
                      </wps:txbx>
                      <wps:bodyPr wrap="square" upright="1"/>
                    </wps:wsp>
                  </a:graphicData>
                </a:graphic>
              </wp:anchor>
            </w:drawing>
          </mc:Choice>
          <mc:Fallback>
            <w:pict>
              <v:shape id="文本框 41" o:spid="_x0000_s1026" o:spt="202" type="#_x0000_t202" style="position:absolute;left:0pt;margin-left:130.65pt;margin-top:2.55pt;height:23.8pt;width:193.3pt;z-index:251667456;mso-width-relative:page;mso-height-relative:page;" fillcolor="#FFFFFF" filled="t" stroked="t" coordsize="21600,21600" o:gfxdata="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AVYH2AAA&#10;AAgBAAAPAAAAAAAAAAEAIAAAACIAAABkcnMvZG93bnJldi54bWxQSwECFAAUAAAACACHTuJAgo5V&#10;Dh4CAABUBAAADgAAAAAAAAABACAAAAAnAQAAZHJzL2Uyb0RvYy54bWxQSwUGAAAAAAYABgBZAQAA&#10;twUAAAAA&#10;">
                <v:fill on="t" focussize="0,0"/>
                <v:stroke color="#000000" joinstyle="miter"/>
                <v:imagedata o:title=""/>
                <o:lock v:ext="edit" aspectratio="f"/>
                <v:textbox>
                  <w:txbxContent>
                    <w:p w14:paraId="4494518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公示拟中选结果</w:t>
                      </w:r>
                    </w:p>
                    <w:p w14:paraId="06E80B03">
                      <w:pPr>
                        <w:jc w:val="center"/>
                      </w:pPr>
                    </w:p>
                  </w:txbxContent>
                </v:textbox>
              </v:shape>
            </w:pict>
          </mc:Fallback>
        </mc:AlternateContent>
      </w:r>
    </w:p>
    <w:p w14:paraId="05A73BBC">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14:paraId="0D66D253">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8480" behindDoc="0" locked="0" layoutInCell="1" allowOverlap="1">
                <wp:simplePos x="0" y="0"/>
                <wp:positionH relativeFrom="column">
                  <wp:posOffset>1650365</wp:posOffset>
                </wp:positionH>
                <wp:positionV relativeFrom="paragraph">
                  <wp:posOffset>59690</wp:posOffset>
                </wp:positionV>
                <wp:extent cx="2454910" cy="301625"/>
                <wp:effectExtent l="4445" t="4445" r="17145" b="17780"/>
                <wp:wrapNone/>
                <wp:docPr id="15" name="文本框 42"/>
                <wp:cNvGraphicFramePr/>
                <a:graphic xmlns:a="http://schemas.openxmlformats.org/drawingml/2006/main">
                  <a:graphicData uri="http://schemas.microsoft.com/office/word/2010/wordprocessingShape">
                    <wps:wsp>
                      <wps:cNvSpPr txBox="1"/>
                      <wps:spPr>
                        <a:xfrm>
                          <a:off x="0" y="0"/>
                          <a:ext cx="2454910"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30AE3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公布中选结果</w:t>
                            </w:r>
                          </w:p>
                          <w:p w14:paraId="290F567E">
                            <w:pPr>
                              <w:jc w:val="center"/>
                            </w:pPr>
                          </w:p>
                        </w:txbxContent>
                      </wps:txbx>
                      <wps:bodyPr wrap="square" upright="1"/>
                    </wps:wsp>
                  </a:graphicData>
                </a:graphic>
              </wp:anchor>
            </w:drawing>
          </mc:Choice>
          <mc:Fallback>
            <w:pict>
              <v:shape id="文本框 42" o:spid="_x0000_s1026" o:spt="202" type="#_x0000_t202" style="position:absolute;left:0pt;margin-left:129.95pt;margin-top:4.7pt;height:23.75pt;width:193.3pt;z-index:251668480;mso-width-relative:page;mso-height-relative:page;" fillcolor="#FFFFFF" filled="t" stroked="t" coordsize="21600,21600" o:gfxdata="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ILUO2AAAAAgB&#10;AAAPAAAAAAAAAAEAIAAAACIAAABkcnMvZG93bnJldi54bWxQSwECFAAUAAAACACHTuJAMmDabhsC&#10;AABUBAAADgAAAAAAAAABACAAAAAnAQAAZHJzL2Uyb0RvYy54bWxQSwUGAAAAAAYABgBZAQAAtAUA&#10;AAAA&#10;">
                <v:fill on="t" focussize="0,0"/>
                <v:stroke color="#000000" joinstyle="miter"/>
                <v:imagedata o:title=""/>
                <o:lock v:ext="edit" aspectratio="f"/>
                <v:textbox>
                  <w:txbxContent>
                    <w:p w14:paraId="4B30AE3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公布中选结果</w:t>
                      </w:r>
                    </w:p>
                    <w:p w14:paraId="290F567E">
                      <w:pPr>
                        <w:jc w:val="center"/>
                      </w:pPr>
                    </w:p>
                  </w:txbxContent>
                </v:textbox>
              </v:shape>
            </w:pict>
          </mc:Fallback>
        </mc:AlternateContent>
      </w:r>
    </w:p>
    <w:p w14:paraId="4B536055">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14:paraId="250B12CF">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69504" behindDoc="0" locked="0" layoutInCell="1" allowOverlap="1">
                <wp:simplePos x="0" y="0"/>
                <wp:positionH relativeFrom="column">
                  <wp:posOffset>1642110</wp:posOffset>
                </wp:positionH>
                <wp:positionV relativeFrom="paragraph">
                  <wp:posOffset>46355</wp:posOffset>
                </wp:positionV>
                <wp:extent cx="2454910" cy="302260"/>
                <wp:effectExtent l="4445" t="4445" r="17145" b="17145"/>
                <wp:wrapNone/>
                <wp:docPr id="16" name="文本框 43"/>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0593F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分配确认协议采购量</w:t>
                            </w:r>
                          </w:p>
                          <w:p w14:paraId="5246A239">
                            <w:pPr>
                              <w:jc w:val="center"/>
                            </w:pPr>
                          </w:p>
                        </w:txbxContent>
                      </wps:txbx>
                      <wps:bodyPr wrap="square" upright="1"/>
                    </wps:wsp>
                  </a:graphicData>
                </a:graphic>
              </wp:anchor>
            </w:drawing>
          </mc:Choice>
          <mc:Fallback>
            <w:pict>
              <v:shape id="文本框 43" o:spid="_x0000_s1026" o:spt="202" type="#_x0000_t202" style="position:absolute;left:0pt;margin-left:129.3pt;margin-top:3.65pt;height:23.8pt;width:193.3pt;z-index:251669504;mso-width-relative:page;mso-height-relative:page;" fillcolor="#FFFFFF" filled="t" stroked="t" coordsize="21600,21600" o:gfxdata="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aSKUdkA&#10;AAAIAQAADwAAAAAAAAABACAAAAAiAAAAZHJzL2Rvd25yZXYueG1sUEsBAhQAFAAAAAgAh07iQBI3&#10;8hQeAgAAVAQAAA4AAAAAAAAAAQAgAAAAKAEAAGRycy9lMm9Eb2MueG1sUEsFBgAAAAAGAAYAWQEA&#10;ALgFAAAAAA==&#10;">
                <v:fill on="t" focussize="0,0"/>
                <v:stroke color="#000000" joinstyle="miter"/>
                <v:imagedata o:title=""/>
                <o:lock v:ext="edit" aspectratio="f"/>
                <v:textbox>
                  <w:txbxContent>
                    <w:p w14:paraId="020593F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分配确认协议采购量</w:t>
                      </w:r>
                    </w:p>
                    <w:p w14:paraId="5246A239">
                      <w:pPr>
                        <w:jc w:val="center"/>
                      </w:pPr>
                    </w:p>
                  </w:txbxContent>
                </v:textbox>
              </v:shape>
            </w:pict>
          </mc:Fallback>
        </mc:AlternateContent>
      </w:r>
    </w:p>
    <w:p w14:paraId="546763BA">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14:paraId="22E0D2BB">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70528" behindDoc="0" locked="0" layoutInCell="1" allowOverlap="1">
                <wp:simplePos x="0" y="0"/>
                <wp:positionH relativeFrom="column">
                  <wp:posOffset>1634490</wp:posOffset>
                </wp:positionH>
                <wp:positionV relativeFrom="paragraph">
                  <wp:posOffset>57150</wp:posOffset>
                </wp:positionV>
                <wp:extent cx="2454910" cy="302260"/>
                <wp:effectExtent l="4445" t="4445" r="17145" b="17145"/>
                <wp:wrapNone/>
                <wp:docPr id="17" name="文本框 44"/>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601E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确认配送关系</w:t>
                            </w:r>
                          </w:p>
                          <w:p w14:paraId="2B470217">
                            <w:pPr>
                              <w:jc w:val="center"/>
                            </w:pPr>
                          </w:p>
                        </w:txbxContent>
                      </wps:txbx>
                      <wps:bodyPr wrap="square" upright="1"/>
                    </wps:wsp>
                  </a:graphicData>
                </a:graphic>
              </wp:anchor>
            </w:drawing>
          </mc:Choice>
          <mc:Fallback>
            <w:pict>
              <v:shape id="文本框 44" o:spid="_x0000_s1026" o:spt="202" type="#_x0000_t202" style="position:absolute;left:0pt;margin-left:128.7pt;margin-top:4.5pt;height:23.8pt;width:193.3pt;z-index:251670528;mso-width-relative:page;mso-height-relative:page;" fillcolor="#FFFFFF" filled="t" stroked="t" coordsize="21600,21600" o:gfxdata="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Fpj3a2AAA&#10;AAgBAAAPAAAAAAAAAAEAIAAAACIAAABkcnMvZG93bnJldi54bWxQSwECFAAUAAAACACHTuJAj/91&#10;jh4CAABUBAAADgAAAAAAAAABACAAAAAnAQAAZHJzL2Uyb0RvYy54bWxQSwUGAAAAAAYABgBZAQAA&#10;twUAAAAA&#10;">
                <v:fill on="t" focussize="0,0"/>
                <v:stroke color="#000000" joinstyle="miter"/>
                <v:imagedata o:title=""/>
                <o:lock v:ext="edit" aspectratio="f"/>
                <v:textbox>
                  <w:txbxContent>
                    <w:p w14:paraId="44601E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确认配送关系</w:t>
                      </w:r>
                    </w:p>
                    <w:p w14:paraId="2B470217">
                      <w:pPr>
                        <w:jc w:val="center"/>
                      </w:pPr>
                    </w:p>
                  </w:txbxContent>
                </v:textbox>
              </v:shape>
            </w:pict>
          </mc:Fallback>
        </mc:AlternateContent>
      </w:r>
    </w:p>
    <w:p w14:paraId="5D1784AC">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14:paraId="1D3BF4ED">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71552" behindDoc="0" locked="0" layoutInCell="1" allowOverlap="1">
                <wp:simplePos x="0" y="0"/>
                <wp:positionH relativeFrom="column">
                  <wp:posOffset>1657985</wp:posOffset>
                </wp:positionH>
                <wp:positionV relativeFrom="paragraph">
                  <wp:posOffset>44450</wp:posOffset>
                </wp:positionV>
                <wp:extent cx="2454910" cy="301625"/>
                <wp:effectExtent l="4445" t="4445" r="17145" b="17780"/>
                <wp:wrapNone/>
                <wp:docPr id="18" name="文本框 45"/>
                <wp:cNvGraphicFramePr/>
                <a:graphic xmlns:a="http://schemas.openxmlformats.org/drawingml/2006/main">
                  <a:graphicData uri="http://schemas.microsoft.com/office/word/2010/wordprocessingShape">
                    <wps:wsp>
                      <wps:cNvSpPr txBox="1"/>
                      <wps:spPr>
                        <a:xfrm>
                          <a:off x="0" y="0"/>
                          <a:ext cx="2454910"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2DE2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签订三方购销</w:t>
                            </w:r>
                            <w:r>
                              <w:rPr>
                                <w:rFonts w:hint="eastAsia" w:ascii="仿宋_GB2312" w:hAnsi="仿宋_GB2312" w:eastAsia="仿宋_GB2312" w:cs="仿宋_GB2312"/>
                                <w:sz w:val="24"/>
                                <w:szCs w:val="24"/>
                                <w:lang w:eastAsia="zh-CN"/>
                              </w:rPr>
                              <w:t>合同</w:t>
                            </w:r>
                          </w:p>
                          <w:p w14:paraId="1B4343ED">
                            <w:pPr>
                              <w:jc w:val="center"/>
                            </w:pPr>
                          </w:p>
                        </w:txbxContent>
                      </wps:txbx>
                      <wps:bodyPr wrap="square" upright="1"/>
                    </wps:wsp>
                  </a:graphicData>
                </a:graphic>
              </wp:anchor>
            </w:drawing>
          </mc:Choice>
          <mc:Fallback>
            <w:pict>
              <v:shape id="文本框 45" o:spid="_x0000_s1026" o:spt="202" type="#_x0000_t202" style="position:absolute;left:0pt;margin-left:130.55pt;margin-top:3.5pt;height:23.75pt;width:193.3pt;z-index:251671552;mso-width-relative:page;mso-height-relative:page;" fillcolor="#FFFFFF" filled="t" stroked="t" coordsize="21600,21600" o:gfxdata="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AA3EjYAAAA&#10;CAEAAA8AAAAAAAAAAQAgAAAAIgAAAGRycy9kb3ducmV2LnhtbFBLAQIUABQAAAAIAIdO4kAkE1Vf&#10;HQIAAFQEAAAOAAAAAAAAAAEAIAAAACcBAABkcnMvZTJvRG9jLnhtbFBLBQYAAAAABgAGAFkBAAC2&#10;BQAAAAA=&#10;">
                <v:fill on="t" focussize="0,0"/>
                <v:stroke color="#000000" joinstyle="miter"/>
                <v:imagedata o:title=""/>
                <o:lock v:ext="edit" aspectratio="f"/>
                <v:textbox>
                  <w:txbxContent>
                    <w:p w14:paraId="412DE2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签订三方购销</w:t>
                      </w:r>
                      <w:r>
                        <w:rPr>
                          <w:rFonts w:hint="eastAsia" w:ascii="仿宋_GB2312" w:hAnsi="仿宋_GB2312" w:eastAsia="仿宋_GB2312" w:cs="仿宋_GB2312"/>
                          <w:sz w:val="24"/>
                          <w:szCs w:val="24"/>
                          <w:lang w:eastAsia="zh-CN"/>
                        </w:rPr>
                        <w:t>合同</w:t>
                      </w:r>
                    </w:p>
                    <w:p w14:paraId="1B4343ED">
                      <w:pPr>
                        <w:jc w:val="center"/>
                      </w:pPr>
                    </w:p>
                  </w:txbxContent>
                </v:textbox>
              </v:shape>
            </w:pict>
          </mc:Fallback>
        </mc:AlternateContent>
      </w:r>
    </w:p>
    <w:p w14:paraId="3CC592C0">
      <w:pPr>
        <w:keepNext w:val="0"/>
        <w:keepLines w:val="0"/>
        <w:pageBreakBefore w:val="0"/>
        <w:widowControl w:val="0"/>
        <w:kinsoku/>
        <w:wordWrap/>
        <w:overflowPunct/>
        <w:topLinePunct w:val="0"/>
        <w:autoSpaceDE/>
        <w:autoSpaceDN/>
        <w:bidi w:val="0"/>
        <w:adjustRightInd/>
        <w:snapToGrid/>
        <w:spacing w:line="560" w:lineRule="exact"/>
        <w:ind w:right="508" w:rightChars="231" w:firstLine="4440" w:firstLineChars="1850"/>
        <w:jc w:val="left"/>
        <w:textAlignment w:val="auto"/>
        <w:rPr>
          <w:rFonts w:hint="eastAsia"/>
          <w:sz w:val="24"/>
          <w:szCs w:val="24"/>
          <w:highlight w:val="none"/>
        </w:rPr>
      </w:pPr>
      <w:r>
        <w:rPr>
          <w:rFonts w:hint="eastAsia" w:ascii="东文宋体" w:hAnsi="东文宋体" w:eastAsia="东文宋体" w:cs="东文宋体"/>
          <w:sz w:val="24"/>
          <w:szCs w:val="24"/>
          <w:highlight w:val="none"/>
        </w:rPr>
        <w:t>↓</w:t>
      </w:r>
    </w:p>
    <w:p w14:paraId="26D8215D">
      <w:pPr>
        <w:keepNext w:val="0"/>
        <w:keepLines w:val="0"/>
        <w:pageBreakBefore w:val="0"/>
        <w:widowControl w:val="0"/>
        <w:kinsoku/>
        <w:wordWrap/>
        <w:overflowPunct/>
        <w:topLinePunct w:val="0"/>
        <w:autoSpaceDE/>
        <w:autoSpaceDN/>
        <w:bidi w:val="0"/>
        <w:adjustRightInd/>
        <w:snapToGrid/>
        <w:spacing w:line="560" w:lineRule="exact"/>
        <w:ind w:right="508" w:rightChars="231"/>
        <w:jc w:val="center"/>
        <w:textAlignment w:val="auto"/>
        <w:rPr>
          <w:rFonts w:hint="eastAsia"/>
          <w:sz w:val="24"/>
          <w:szCs w:val="24"/>
          <w:highlight w:val="none"/>
        </w:rPr>
      </w:pPr>
      <w:r>
        <w:rPr>
          <w:sz w:val="24"/>
          <w:highlight w:val="none"/>
        </w:rPr>
        <mc:AlternateContent>
          <mc:Choice Requires="wps">
            <w:drawing>
              <wp:anchor distT="0" distB="0" distL="114300" distR="114300" simplePos="0" relativeHeight="251672576" behindDoc="0" locked="0" layoutInCell="1" allowOverlap="1">
                <wp:simplePos x="0" y="0"/>
                <wp:positionH relativeFrom="column">
                  <wp:posOffset>1633855</wp:posOffset>
                </wp:positionH>
                <wp:positionV relativeFrom="paragraph">
                  <wp:posOffset>46990</wp:posOffset>
                </wp:positionV>
                <wp:extent cx="2454910" cy="302260"/>
                <wp:effectExtent l="4445" t="4445" r="17145" b="17145"/>
                <wp:wrapNone/>
                <wp:docPr id="19" name="文本框 46"/>
                <wp:cNvGraphicFramePr/>
                <a:graphic xmlns:a="http://schemas.openxmlformats.org/drawingml/2006/main">
                  <a:graphicData uri="http://schemas.microsoft.com/office/word/2010/wordprocessingShape">
                    <wps:wsp>
                      <wps:cNvSpPr txBox="1"/>
                      <wps:spPr>
                        <a:xfrm>
                          <a:off x="0" y="0"/>
                          <a:ext cx="245491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A1910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中选结果挂网执行</w:t>
                            </w:r>
                          </w:p>
                          <w:p w14:paraId="1D143B04">
                            <w:pPr>
                              <w:jc w:val="center"/>
                            </w:pPr>
                          </w:p>
                        </w:txbxContent>
                      </wps:txbx>
                      <wps:bodyPr wrap="square" upright="1"/>
                    </wps:wsp>
                  </a:graphicData>
                </a:graphic>
              </wp:anchor>
            </w:drawing>
          </mc:Choice>
          <mc:Fallback>
            <w:pict>
              <v:shape id="文本框 46" o:spid="_x0000_s1026" o:spt="202" type="#_x0000_t202" style="position:absolute;left:0pt;margin-left:128.65pt;margin-top:3.7pt;height:23.8pt;width:193.3pt;z-index:251672576;mso-width-relative:page;mso-height-relative:page;" fillcolor="#FFFFFF" filled="t" stroked="t" coordsize="21600,21600" o:gfxdata="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k3Ee2AAA&#10;AAgBAAAPAAAAAAAAAAEAIAAAACIAAABkcnMvZG93bnJldi54bWxQSwECFAAUAAAACACHTuJAlP3a&#10;Px4CAABUBAAADgAAAAAAAAABACAAAAAnAQAAZHJzL2Uyb0RvYy54bWxQSwUGAAAAAAYABgBZAQAA&#10;twUAAAAA&#10;">
                <v:fill on="t" focussize="0,0"/>
                <v:stroke color="#000000" joinstyle="miter"/>
                <v:imagedata o:title=""/>
                <o:lock v:ext="edit" aspectratio="f"/>
                <v:textbox>
                  <w:txbxContent>
                    <w:p w14:paraId="60A1910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中选结果挂网执行</w:t>
                      </w:r>
                    </w:p>
                    <w:p w14:paraId="1D143B04">
                      <w:pPr>
                        <w:jc w:val="center"/>
                      </w:pPr>
                    </w:p>
                  </w:txbxContent>
                </v:textbox>
              </v:shape>
            </w:pict>
          </mc:Fallback>
        </mc:AlternateContent>
      </w:r>
    </w:p>
    <w:p w14:paraId="67EFDE8D">
      <w:pPr>
        <w:pStyle w:val="8"/>
        <w:ind w:right="508" w:rightChars="231"/>
        <w:rPr>
          <w:sz w:val="20"/>
          <w:highlight w:val="none"/>
        </w:rPr>
      </w:pPr>
    </w:p>
    <w:p w14:paraId="526C7E41">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outlineLvl w:val="1"/>
        <w:rPr>
          <w:rFonts w:hint="eastAsia" w:ascii="黑体" w:hAnsi="黑体" w:eastAsia="黑体" w:cs="黑体"/>
          <w:b w:val="0"/>
          <w:bCs w:val="0"/>
          <w:highlight w:val="none"/>
          <w:lang w:eastAsia="zh-CN"/>
        </w:rPr>
      </w:pPr>
      <w:bookmarkStart w:id="77" w:name="九、联系方式"/>
      <w:bookmarkEnd w:id="77"/>
      <w:bookmarkStart w:id="78" w:name="_Toc1248939627"/>
      <w:bookmarkStart w:id="79" w:name="_Toc2069243296"/>
      <w:bookmarkStart w:id="80" w:name="_Toc815278660"/>
      <w:bookmarkStart w:id="81" w:name="_Toc561221213"/>
      <w:bookmarkStart w:id="82" w:name="_Toc155562282"/>
    </w:p>
    <w:p w14:paraId="0922E3CB">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1"/>
        <w:rPr>
          <w:rFonts w:hint="eastAsia" w:ascii="黑体" w:hAnsi="黑体" w:eastAsia="黑体" w:cs="黑体"/>
          <w:b w:val="0"/>
          <w:bCs w:val="0"/>
          <w:highlight w:val="none"/>
          <w:lang w:eastAsia="zh-CN"/>
        </w:rPr>
      </w:pPr>
      <w:bookmarkStart w:id="83" w:name="_Toc12475"/>
      <w:r>
        <w:rPr>
          <w:rFonts w:hint="eastAsia" w:ascii="黑体" w:hAnsi="黑体" w:eastAsia="黑体" w:cs="黑体"/>
          <w:b w:val="0"/>
          <w:bCs w:val="0"/>
          <w:highlight w:val="none"/>
          <w:lang w:eastAsia="zh-CN"/>
        </w:rPr>
        <w:t>九、联系方式</w:t>
      </w:r>
      <w:bookmarkEnd w:id="78"/>
      <w:bookmarkEnd w:id="79"/>
      <w:bookmarkEnd w:id="80"/>
      <w:bookmarkEnd w:id="81"/>
      <w:bookmarkEnd w:id="82"/>
      <w:bookmarkEnd w:id="83"/>
    </w:p>
    <w:p w14:paraId="656A3C0F">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default"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名称：一次性使用阴道扩张器全省性联盟集采领导小组办公室</w:t>
      </w:r>
    </w:p>
    <w:p w14:paraId="73395659">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地址：‌泉州市丰泽区府西路交通科研楼C栋</w:t>
      </w:r>
    </w:p>
    <w:p w14:paraId="61F43742">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default"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邮编：362000</w:t>
      </w:r>
    </w:p>
    <w:p w14:paraId="4239E4E6">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电话：</w:t>
      </w:r>
      <w:r>
        <w:rPr>
          <w:rFonts w:hint="eastAsia" w:ascii="仿宋_GB2312" w:hAnsi="Calibri" w:eastAsia="仿宋_GB2312" w:cs="仿宋_GB2312"/>
          <w:b w:val="0"/>
          <w:bCs w:val="0"/>
          <w:i w:val="0"/>
          <w:caps w:val="0"/>
          <w:color w:val="333333"/>
          <w:spacing w:val="0"/>
          <w:kern w:val="0"/>
          <w:sz w:val="32"/>
          <w:szCs w:val="32"/>
          <w:highlight w:val="none"/>
          <w:shd w:val="clear" w:color="auto" w:fill="FFFFFF"/>
          <w:lang w:val="en-US" w:eastAsia="zh-CN" w:bidi="ar"/>
        </w:rPr>
        <w:t>0595-28288967</w:t>
      </w:r>
    </w:p>
    <w:p w14:paraId="47CAA2BC">
      <w:pPr>
        <w:pStyle w:val="8"/>
        <w:keepNext w:val="0"/>
        <w:keepLines w:val="0"/>
        <w:pageBreakBefore w:val="0"/>
        <w:widowControl w:val="0"/>
        <w:kinsoku/>
        <w:wordWrap/>
        <w:overflowPunct/>
        <w:topLinePunct w:val="0"/>
        <w:autoSpaceDE w:val="0"/>
        <w:autoSpaceDN w:val="0"/>
        <w:bidi w:val="0"/>
        <w:snapToGrid/>
        <w:spacing w:before="3" w:line="560" w:lineRule="exact"/>
        <w:ind w:left="103" w:right="508" w:rightChars="231" w:firstLine="640"/>
        <w:textAlignment w:val="auto"/>
        <w:rPr>
          <w:rFonts w:hint="eastAsia" w:ascii="仿宋_GB2312" w:hAnsi="仿宋_GB2312" w:eastAsia="仿宋_GB2312" w:cs="仿宋_GB2312"/>
          <w:spacing w:val="-1"/>
          <w:sz w:val="32"/>
          <w:szCs w:val="32"/>
          <w:highlight w:val="none"/>
          <w:lang w:val="en-US" w:eastAsia="zh-CN" w:bidi="ar-SA"/>
        </w:rPr>
      </w:pPr>
      <w:r>
        <w:rPr>
          <w:rFonts w:hint="eastAsia" w:ascii="仿宋_GB2312" w:hAnsi="仿宋_GB2312" w:eastAsia="仿宋_GB2312" w:cs="仿宋_GB2312"/>
          <w:spacing w:val="-1"/>
          <w:sz w:val="32"/>
          <w:szCs w:val="32"/>
          <w:highlight w:val="none"/>
          <w:lang w:val="en-US" w:eastAsia="zh-CN" w:bidi="ar-SA"/>
        </w:rPr>
        <w:t>QQ群：962884523</w:t>
      </w:r>
    </w:p>
    <w:p w14:paraId="21E8A476">
      <w:pPr>
        <w:keepNext w:val="0"/>
        <w:keepLines w:val="0"/>
        <w:pageBreakBefore w:val="0"/>
        <w:widowControl w:val="0"/>
        <w:kinsoku/>
        <w:wordWrap/>
        <w:overflowPunct/>
        <w:topLinePunct w:val="0"/>
        <w:bidi w:val="0"/>
        <w:adjustRightInd/>
        <w:snapToGrid/>
        <w:spacing w:before="56" w:line="560" w:lineRule="exact"/>
        <w:ind w:right="1829"/>
        <w:jc w:val="both"/>
        <w:textAlignment w:val="auto"/>
        <w:rPr>
          <w:rFonts w:hint="eastAsia" w:ascii="方正小标宋简体" w:hAnsi="方正小标宋简体" w:eastAsia="方正小标宋简体" w:cs="方正小标宋简体"/>
          <w:highlight w:val="none"/>
          <w:lang w:eastAsia="zh-CN"/>
        </w:rPr>
      </w:pPr>
      <w:bookmarkStart w:id="84" w:name="_TOC_250001"/>
      <w:bookmarkEnd w:id="84"/>
      <w:r>
        <w:rPr>
          <w:rFonts w:hint="eastAsia" w:ascii="方正小标宋简体" w:hAnsi="方正小标宋简体" w:eastAsia="方正小标宋简体" w:cs="方正小标宋简体"/>
          <w:highlight w:val="none"/>
        </w:rPr>
        <w:br w:type="page"/>
      </w:r>
      <w:bookmarkStart w:id="85" w:name="_Toc513196652"/>
      <w:bookmarkStart w:id="86" w:name="_Toc1839498426"/>
    </w:p>
    <w:p w14:paraId="51242A56">
      <w:pPr>
        <w:pStyle w:val="2"/>
        <w:numPr>
          <w:ilvl w:val="0"/>
          <w:numId w:val="1"/>
        </w:numPr>
        <w:bidi w:val="0"/>
        <w:ind w:left="0" w:leftChars="0" w:firstLine="0" w:firstLineChars="0"/>
        <w:jc w:val="center"/>
        <w:outlineLvl w:val="0"/>
        <w:rPr>
          <w:rFonts w:hint="eastAsia" w:ascii="方正小标宋简体" w:hAnsi="方正小标宋简体" w:eastAsia="方正小标宋简体" w:cs="方正小标宋简体"/>
          <w:highlight w:val="none"/>
        </w:rPr>
      </w:pPr>
      <w:bookmarkStart w:id="87" w:name="_Toc1902852711"/>
      <w:bookmarkStart w:id="88" w:name="_Toc12190"/>
      <w:bookmarkStart w:id="89" w:name="_Toc696749267"/>
      <w:bookmarkStart w:id="90" w:name="_Toc1421896354"/>
      <w:r>
        <w:rPr>
          <w:rFonts w:hint="eastAsia" w:ascii="方正小标宋简体" w:hAnsi="方正小标宋简体" w:eastAsia="方正小标宋简体" w:cs="方正小标宋简体"/>
          <w:highlight w:val="none"/>
        </w:rPr>
        <w:t>申报企业须知</w:t>
      </w:r>
      <w:bookmarkEnd w:id="85"/>
      <w:bookmarkEnd w:id="86"/>
      <w:bookmarkEnd w:id="87"/>
      <w:bookmarkEnd w:id="88"/>
      <w:bookmarkEnd w:id="89"/>
      <w:bookmarkEnd w:id="90"/>
    </w:p>
    <w:p w14:paraId="68EB2381">
      <w:pPr>
        <w:rPr>
          <w:rFonts w:hint="eastAsia"/>
          <w:highlight w:val="none"/>
        </w:rPr>
      </w:pPr>
    </w:p>
    <w:p w14:paraId="0E09F536">
      <w:pPr>
        <w:numPr>
          <w:ilvl w:val="0"/>
          <w:numId w:val="0"/>
        </w:numPr>
        <w:ind w:right="0" w:rightChars="0"/>
        <w:rPr>
          <w:rFonts w:hint="eastAsia"/>
          <w:highlight w:val="none"/>
        </w:rPr>
      </w:pPr>
    </w:p>
    <w:p w14:paraId="1E5C3CA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91" w:name="一、申报材料"/>
      <w:bookmarkEnd w:id="91"/>
      <w:bookmarkStart w:id="92" w:name="_Toc18660"/>
      <w:bookmarkStart w:id="93" w:name="_Toc36603378"/>
      <w:bookmarkStart w:id="94" w:name="_Toc1684638101"/>
      <w:bookmarkStart w:id="95" w:name="_Toc627391945"/>
      <w:bookmarkStart w:id="96" w:name="_Toc613997862"/>
      <w:bookmarkStart w:id="97" w:name="_Toc368957084"/>
      <w:r>
        <w:rPr>
          <w:rFonts w:hint="eastAsia" w:ascii="黑体" w:hAnsi="黑体" w:eastAsia="黑体" w:cs="黑体"/>
          <w:b w:val="0"/>
          <w:bCs w:val="0"/>
          <w:highlight w:val="none"/>
          <w:lang w:eastAsia="zh-CN"/>
        </w:rPr>
        <w:t>一、申报材料</w:t>
      </w:r>
      <w:bookmarkEnd w:id="92"/>
      <w:bookmarkEnd w:id="93"/>
      <w:bookmarkEnd w:id="94"/>
      <w:bookmarkEnd w:id="95"/>
      <w:bookmarkEnd w:id="96"/>
      <w:bookmarkEnd w:id="97"/>
    </w:p>
    <w:p w14:paraId="7AE64DCB">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98" w:name="_Toc11504"/>
      <w:bookmarkStart w:id="99" w:name="_Toc1012651004"/>
      <w:bookmarkStart w:id="100" w:name="_Toc803142799"/>
      <w:r>
        <w:rPr>
          <w:rFonts w:hint="eastAsia" w:ascii="楷体_GB2312" w:hAnsi="楷体_GB2312" w:eastAsia="楷体_GB2312" w:cs="楷体_GB2312"/>
          <w:b w:val="0"/>
          <w:bCs/>
          <w:sz w:val="32"/>
          <w:szCs w:val="22"/>
          <w:highlight w:val="none"/>
          <w:lang w:val="en-US" w:eastAsia="zh-CN" w:bidi="ar-SA"/>
        </w:rPr>
        <w:t>（一）申报企业资质材料</w:t>
      </w:r>
      <w:bookmarkEnd w:id="98"/>
      <w:bookmarkEnd w:id="99"/>
      <w:bookmarkEnd w:id="100"/>
    </w:p>
    <w:p w14:paraId="1C4F9907">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1.企业《营业执照》（正、副本）；</w:t>
      </w:r>
    </w:p>
    <w:p w14:paraId="209904DF">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2.医疗器械注册人或境外医用耗材《医疗器械注册证》上指定的代理人或报关企业法人相关信息；</w:t>
      </w:r>
    </w:p>
    <w:p w14:paraId="1948C331">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3.境外医用耗材生产企业的《总代理证明材料》〔仅境外医用耗材《医疗器械注册证》上指定的代理人或报关企业提供〕，原则上在</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lang w:val="en-US" w:eastAsia="zh-CN"/>
        </w:rPr>
        <w:t>中选结果落地执行前提供外文总代理证明材料公证后的翻译件；</w:t>
      </w:r>
    </w:p>
    <w:p w14:paraId="5FD58917">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4.境内医疗器械注册人、备案人从事实际生产的，提供《医疗器械生产许可证》；不从事实际生产的，提供受托生产企业的《营业执照》（正、副本）、《医疗器械生产许可证》等资质材料；</w:t>
      </w:r>
    </w:p>
    <w:p w14:paraId="6654C81F">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5.其他相关文件材料。</w:t>
      </w:r>
    </w:p>
    <w:p w14:paraId="58124479">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01" w:name="_Toc817521753"/>
      <w:bookmarkStart w:id="102" w:name="_Toc1486301398"/>
      <w:bookmarkStart w:id="103" w:name="_Toc23586"/>
      <w:r>
        <w:rPr>
          <w:rFonts w:hint="eastAsia" w:ascii="楷体_GB2312" w:hAnsi="楷体_GB2312" w:eastAsia="楷体_GB2312" w:cs="楷体_GB2312"/>
          <w:b w:val="0"/>
          <w:bCs/>
          <w:sz w:val="32"/>
          <w:szCs w:val="22"/>
          <w:highlight w:val="none"/>
          <w:lang w:val="en-US" w:eastAsia="zh-CN" w:bidi="ar-SA"/>
        </w:rPr>
        <w:t>（二）申报产品及产品资质</w:t>
      </w:r>
      <w:bookmarkEnd w:id="101"/>
      <w:bookmarkEnd w:id="102"/>
      <w:bookmarkEnd w:id="103"/>
    </w:p>
    <w:p w14:paraId="64F46001">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14:paraId="55A19DF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2.产品说明书、产品图片（上传代表品的外包装和产品实物图片）</w:t>
      </w:r>
    </w:p>
    <w:p w14:paraId="200E80B3">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3.境外医用耗材生产企业的《委托授权书》〔仅境外医用耗材</w:t>
      </w:r>
      <w:bookmarkStart w:id="211" w:name="_GoBack"/>
      <w:bookmarkEnd w:id="211"/>
      <w:r>
        <w:rPr>
          <w:rFonts w:hint="eastAsia" w:ascii="仿宋_GB2312" w:hAnsi="仿宋_GB2312" w:eastAsia="仿宋_GB2312" w:cs="仿宋_GB2312"/>
          <w:spacing w:val="-1"/>
          <w:sz w:val="32"/>
          <w:szCs w:val="32"/>
          <w:highlight w:val="none"/>
          <w:lang w:val="en-US" w:eastAsia="zh-CN"/>
        </w:rPr>
        <w:t>《医疗器械注册证》上指定的代理人或报关企业提供〕。</w:t>
      </w:r>
    </w:p>
    <w:p w14:paraId="3C8FAB0E">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4.其他相关文件材料。</w:t>
      </w:r>
    </w:p>
    <w:p w14:paraId="5306FFDA">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04" w:name="_Toc487729165"/>
      <w:bookmarkStart w:id="105" w:name="_Toc737814282"/>
      <w:bookmarkStart w:id="106" w:name="_Toc15289"/>
      <w:r>
        <w:rPr>
          <w:rFonts w:hint="eastAsia" w:ascii="楷体_GB2312" w:hAnsi="楷体_GB2312" w:eastAsia="楷体_GB2312" w:cs="楷体_GB2312"/>
          <w:b w:val="0"/>
          <w:bCs/>
          <w:sz w:val="32"/>
          <w:szCs w:val="22"/>
          <w:highlight w:val="none"/>
          <w:lang w:val="en-US" w:eastAsia="zh-CN" w:bidi="ar-SA"/>
        </w:rPr>
        <w:t>（三）项目报名资料</w:t>
      </w:r>
      <w:bookmarkEnd w:id="104"/>
      <w:bookmarkEnd w:id="105"/>
      <w:bookmarkEnd w:id="106"/>
    </w:p>
    <w:p w14:paraId="51D3A197">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1.境内医用耗材生产企业和境外医用耗材《医疗器械注册证》上指定的代理人或报关企业对企业授权代理人的《授权书》和企业授权代理人、法定代表人身份证（正、反面）（附件2）；</w:t>
      </w:r>
    </w:p>
    <w:p w14:paraId="0179A9A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2.《一次性使用阴道扩张器全省性联盟集中带量采购申报函》（附件3）；</w:t>
      </w:r>
    </w:p>
    <w:p w14:paraId="66A67C65">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3.《一次性使用阴道扩张器全省性联盟集中带量采购申报企业承诺函》（附件4）；</w:t>
      </w:r>
    </w:p>
    <w:p w14:paraId="74ABA36F">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4.其他相关文件材料。</w:t>
      </w:r>
    </w:p>
    <w:p w14:paraId="06C3C035">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07" w:name="_Toc874059796"/>
      <w:bookmarkStart w:id="108" w:name="_Toc318995556"/>
      <w:bookmarkStart w:id="109" w:name="_Toc6107"/>
      <w:r>
        <w:rPr>
          <w:rFonts w:hint="eastAsia" w:ascii="楷体_GB2312" w:hAnsi="楷体_GB2312" w:eastAsia="楷体_GB2312" w:cs="楷体_GB2312"/>
          <w:b w:val="0"/>
          <w:bCs/>
          <w:sz w:val="32"/>
          <w:szCs w:val="22"/>
          <w:highlight w:val="none"/>
          <w:lang w:val="en-US" w:eastAsia="zh-CN" w:bidi="ar-SA"/>
        </w:rPr>
        <w:t>（四）填报要求</w:t>
      </w:r>
      <w:bookmarkEnd w:id="107"/>
      <w:bookmarkEnd w:id="108"/>
      <w:bookmarkEnd w:id="109"/>
    </w:p>
    <w:p w14:paraId="78F2E19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申报企业应如实提供和填报有关资料，包括企业全国现行有效最低省级挂网价或其他地市级（含联盟）及以上集中采购（含带量采购）价格。在网上进行申报的文件，需加盖申报企业公章后扫描上传至联盟集采网址。</w:t>
      </w:r>
    </w:p>
    <w:p w14:paraId="7DAD1140">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2.申报材料中涉及到的证书、证明材料等需处于有效状态。申报企业的所有申报材料及往来函电一律以中文书写，外文资料必须提供相应的中文翻译文本。</w:t>
      </w:r>
    </w:p>
    <w:p w14:paraId="43DD1A6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10" w:name="_Toc2013353631"/>
      <w:bookmarkStart w:id="111" w:name="_Toc1534845892"/>
      <w:bookmarkStart w:id="112" w:name="_Toc106650967"/>
      <w:bookmarkStart w:id="113" w:name="_Toc1239126780"/>
      <w:bookmarkStart w:id="114" w:name="_Toc2930"/>
      <w:bookmarkStart w:id="115" w:name="_Toc199632924"/>
      <w:r>
        <w:rPr>
          <w:rFonts w:hint="eastAsia" w:ascii="黑体" w:hAnsi="黑体" w:eastAsia="黑体" w:cs="黑体"/>
          <w:b w:val="0"/>
          <w:bCs w:val="0"/>
          <w:highlight w:val="none"/>
          <w:lang w:eastAsia="zh-CN"/>
        </w:rPr>
        <w:t>二、</w:t>
      </w:r>
      <w:r>
        <w:rPr>
          <w:rFonts w:hint="eastAsia" w:ascii="黑体" w:hAnsi="黑体" w:eastAsia="黑体" w:cs="黑体"/>
          <w:b w:val="0"/>
          <w:bCs w:val="0"/>
          <w:highlight w:val="none"/>
          <w:lang w:val="en-US" w:eastAsia="zh-CN"/>
        </w:rPr>
        <w:t>申报</w:t>
      </w:r>
      <w:r>
        <w:rPr>
          <w:rFonts w:hint="eastAsia" w:ascii="黑体" w:hAnsi="黑体" w:eastAsia="黑体" w:cs="黑体"/>
          <w:b w:val="0"/>
          <w:bCs w:val="0"/>
          <w:highlight w:val="none"/>
          <w:lang w:eastAsia="zh-CN"/>
        </w:rPr>
        <w:t>报价</w:t>
      </w:r>
      <w:bookmarkEnd w:id="110"/>
      <w:bookmarkEnd w:id="111"/>
      <w:bookmarkEnd w:id="112"/>
      <w:bookmarkEnd w:id="113"/>
      <w:bookmarkEnd w:id="114"/>
      <w:bookmarkEnd w:id="115"/>
    </w:p>
    <w:p w14:paraId="538F85D6">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16" w:name="二、申报报价"/>
      <w:bookmarkEnd w:id="116"/>
      <w:r>
        <w:rPr>
          <w:rFonts w:hint="eastAsia" w:ascii="仿宋_GB2312" w:hAnsi="仿宋_GB2312" w:eastAsia="仿宋_GB2312" w:cs="仿宋_GB2312"/>
          <w:spacing w:val="-1"/>
          <w:sz w:val="32"/>
          <w:szCs w:val="32"/>
          <w:highlight w:val="none"/>
          <w:lang w:val="en-US" w:eastAsia="zh-CN"/>
        </w:rPr>
        <w:t>（一）企业申报报价即申报产品满足临床使用的实际供应价，应包含税费、产品正常损耗、相关配套设施、服务和配送等所有费用。</w:t>
      </w:r>
    </w:p>
    <w:p w14:paraId="165B9D4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（二）申报企业应在规定时间内登录联盟集采网址，按照具体报价要求进行报价。企业申报报价具有法律效力，申报企业须承担相应责任。</w:t>
      </w:r>
    </w:p>
    <w:p w14:paraId="3C8AF586">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17" w:name="_Toc1598069196"/>
      <w:r>
        <w:rPr>
          <w:rFonts w:hint="eastAsia" w:ascii="仿宋_GB2312" w:hAnsi="仿宋_GB2312" w:eastAsia="仿宋_GB2312" w:cs="仿宋_GB2312"/>
          <w:spacing w:val="-1"/>
          <w:sz w:val="32"/>
          <w:szCs w:val="32"/>
          <w:highlight w:val="none"/>
          <w:lang w:val="en-US" w:eastAsia="zh-CN"/>
        </w:rPr>
        <w:t>（三）企业申报报价以人民币（元）为单位（保留小数点后三位）。</w:t>
      </w:r>
      <w:bookmarkEnd w:id="117"/>
    </w:p>
    <w:p w14:paraId="27E7A93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18" w:name="三、中选规则"/>
      <w:bookmarkEnd w:id="118"/>
      <w:bookmarkStart w:id="119" w:name="_Toc2144546964"/>
      <w:bookmarkStart w:id="120" w:name="_Toc1708001819"/>
      <w:bookmarkStart w:id="121" w:name="_Toc1854866501"/>
      <w:bookmarkStart w:id="122" w:name="_Toc547094047"/>
      <w:bookmarkStart w:id="123" w:name="_Toc28327"/>
      <w:bookmarkStart w:id="124" w:name="_Toc581339080"/>
      <w:r>
        <w:rPr>
          <w:rFonts w:hint="eastAsia" w:ascii="黑体" w:hAnsi="黑体" w:eastAsia="黑体" w:cs="黑体"/>
          <w:b w:val="0"/>
          <w:bCs w:val="0"/>
          <w:highlight w:val="none"/>
          <w:lang w:eastAsia="zh-CN"/>
        </w:rPr>
        <w:t>三、中选规则</w:t>
      </w:r>
      <w:bookmarkEnd w:id="119"/>
      <w:bookmarkEnd w:id="120"/>
      <w:bookmarkEnd w:id="121"/>
      <w:bookmarkEnd w:id="122"/>
      <w:bookmarkEnd w:id="123"/>
      <w:bookmarkEnd w:id="124"/>
    </w:p>
    <w:p w14:paraId="0EB738D1">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25" w:name="_Toc18761"/>
      <w:bookmarkStart w:id="126" w:name="_Toc1868662455"/>
      <w:bookmarkStart w:id="127" w:name="_Toc1662807357"/>
      <w:r>
        <w:rPr>
          <w:rFonts w:hint="eastAsia" w:ascii="楷体_GB2312" w:hAnsi="楷体_GB2312" w:eastAsia="楷体_GB2312" w:cs="楷体_GB2312"/>
          <w:b w:val="0"/>
          <w:bCs/>
          <w:sz w:val="32"/>
          <w:szCs w:val="22"/>
          <w:highlight w:val="none"/>
          <w:lang w:val="en-US" w:eastAsia="zh-CN" w:bidi="ar-SA"/>
        </w:rPr>
        <w:t>（一）报价要求</w:t>
      </w:r>
      <w:bookmarkEnd w:id="125"/>
      <w:bookmarkEnd w:id="126"/>
      <w:bookmarkEnd w:id="127"/>
    </w:p>
    <w:p w14:paraId="00D85BD1">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各申报企业进行一轮报价，每家申报企业报1个价格。企业报价须同时满足以下条件：</w:t>
      </w:r>
    </w:p>
    <w:p w14:paraId="33703FC5">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1.不得高于最高有效申报价；</w:t>
      </w:r>
    </w:p>
    <w:p w14:paraId="72B87CD4">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2.不得高于本企业同产品全国现行有效最低省级挂网价及福建省医疗机构近一年最低采购价。</w:t>
      </w:r>
    </w:p>
    <w:p w14:paraId="0DB4AD3C">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3.不得高于本企业同产品地市级（含联盟）及以上集中采购（含带量采购）价格；曾中选产品若已调低价格的，则不高于调低后的价格。</w:t>
      </w:r>
    </w:p>
    <w:p w14:paraId="1FA68D7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如中选，本企业所有申报产品按此报价进行供应。</w:t>
      </w:r>
    </w:p>
    <w:p w14:paraId="1308504B">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报价最低的企业需提供成本说明，确保投标价格的合理性和可行性，避免低于成本价销售等不正当竞争行为。</w:t>
      </w:r>
    </w:p>
    <w:p w14:paraId="2133314A">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default" w:ascii="楷体_GB2312" w:hAnsi="楷体_GB2312" w:eastAsia="楷体_GB2312" w:cs="楷体_GB2312"/>
          <w:b w:val="0"/>
          <w:bCs/>
          <w:sz w:val="32"/>
          <w:szCs w:val="22"/>
          <w:highlight w:val="none"/>
          <w:lang w:val="en-US" w:eastAsia="zh-CN" w:bidi="ar-SA"/>
        </w:rPr>
      </w:pPr>
      <w:r>
        <w:rPr>
          <w:rFonts w:hint="eastAsia" w:ascii="楷体_GB2312" w:hAnsi="楷体_GB2312" w:eastAsia="楷体_GB2312" w:cs="楷体_GB2312"/>
          <w:b w:val="0"/>
          <w:bCs/>
          <w:sz w:val="32"/>
          <w:szCs w:val="22"/>
          <w:highlight w:val="none"/>
          <w:lang w:val="en-US" w:eastAsia="zh-CN" w:bidi="ar-SA"/>
        </w:rPr>
        <w:t>（二）企业降幅及排名</w:t>
      </w:r>
    </w:p>
    <w:p w14:paraId="5C69DB08">
      <w:pPr>
        <w:spacing w:before="181" w:line="333" w:lineRule="auto"/>
        <w:ind w:left="21" w:right="231" w:firstLine="597"/>
        <w:rPr>
          <w:rFonts w:hint="eastAsia" w:ascii="仿宋_GB2312" w:hAnsi="仿宋_GB2312" w:eastAsia="仿宋_GB2312" w:cs="仿宋_GB2312"/>
          <w:spacing w:val="9"/>
          <w:sz w:val="30"/>
          <w:szCs w:val="30"/>
          <w:highlight w:val="none"/>
        </w:rPr>
      </w:pPr>
      <w:r>
        <w:rPr>
          <w:rFonts w:hint="eastAsia" w:ascii="仿宋_GB2312" w:hAnsi="仿宋_GB2312" w:eastAsia="仿宋_GB2312" w:cs="仿宋_GB2312"/>
          <w:spacing w:val="9"/>
          <w:sz w:val="30"/>
          <w:szCs w:val="30"/>
          <w:highlight w:val="none"/>
        </w:rPr>
        <w:t>1.企业降幅（按百分比计算）</w:t>
      </w:r>
    </w:p>
    <w:p w14:paraId="440A29E5">
      <w:pPr>
        <w:spacing w:before="181" w:line="333" w:lineRule="auto"/>
        <w:ind w:left="21" w:right="231" w:firstLine="597"/>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9"/>
          <w:sz w:val="30"/>
          <w:szCs w:val="30"/>
          <w:highlight w:val="none"/>
        </w:rPr>
        <w:t>企业降幅按企业报价与所在竞价单元的最高有效申报价进行比</w:t>
      </w:r>
      <w:r>
        <w:rPr>
          <w:rFonts w:hint="eastAsia" w:ascii="仿宋_GB2312" w:hAnsi="仿宋_GB2312" w:eastAsia="仿宋_GB2312" w:cs="仿宋_GB2312"/>
          <w:spacing w:val="1"/>
          <w:sz w:val="30"/>
          <w:szCs w:val="30"/>
          <w:highlight w:val="none"/>
        </w:rPr>
        <w:t>较计算。</w:t>
      </w:r>
    </w:p>
    <w:p w14:paraId="0945E0DE">
      <w:pPr>
        <w:spacing w:before="221" w:line="194" w:lineRule="auto"/>
        <w:ind w:left="1195"/>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mc:AlternateContent>
          <mc:Choice Requires="wps">
            <w:drawing>
              <wp:anchor distT="0" distB="0" distL="114300" distR="114300" simplePos="0" relativeHeight="251678720" behindDoc="0" locked="0" layoutInCell="1" allowOverlap="1">
                <wp:simplePos x="0" y="0"/>
                <wp:positionH relativeFrom="column">
                  <wp:posOffset>1982470</wp:posOffset>
                </wp:positionH>
                <wp:positionV relativeFrom="paragraph">
                  <wp:posOffset>3175</wp:posOffset>
                </wp:positionV>
                <wp:extent cx="2159635" cy="1841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159635" cy="184150"/>
                        </a:xfrm>
                        <a:prstGeom prst="rect">
                          <a:avLst/>
                        </a:prstGeom>
                        <a:noFill/>
                        <a:ln>
                          <a:noFill/>
                        </a:ln>
                      </wps:spPr>
                      <wps:txbx>
                        <w:txbxContent>
                          <w:p w14:paraId="66042F26">
                            <w:pPr>
                              <w:spacing w:before="19" w:line="196" w:lineRule="auto"/>
                              <w:ind w:left="20"/>
                              <w:rPr>
                                <w:rFonts w:ascii="FangSong" w:hAnsi="FangSong" w:eastAsia="FangSong" w:cs="FangSong"/>
                                <w:sz w:val="25"/>
                                <w:szCs w:val="25"/>
                                <w:highlight w:val="none"/>
                              </w:rPr>
                            </w:pPr>
                            <w:r>
                              <w:rPr>
                                <w:rFonts w:ascii="FangSong" w:hAnsi="FangSong" w:eastAsia="FangSong" w:cs="FangSong"/>
                                <w:spacing w:val="8"/>
                                <w:sz w:val="25"/>
                                <w:szCs w:val="25"/>
                                <w:highlight w:val="none"/>
                              </w:rPr>
                              <w:t>最高有效申报价</w:t>
                            </w:r>
                            <w:r>
                              <w:rPr>
                                <w:rFonts w:ascii="Cambria Math" w:hAnsi="Cambria Math" w:eastAsia="Cambria Math" w:cs="Cambria Math"/>
                                <w:spacing w:val="8"/>
                                <w:sz w:val="25"/>
                                <w:szCs w:val="25"/>
                                <w:highlight w:val="none"/>
                              </w:rPr>
                              <w:t>−</w:t>
                            </w:r>
                            <w:r>
                              <w:rPr>
                                <w:rFonts w:ascii="FangSong" w:hAnsi="FangSong" w:eastAsia="FangSong" w:cs="FangSong"/>
                                <w:spacing w:val="8"/>
                                <w:sz w:val="25"/>
                                <w:szCs w:val="25"/>
                                <w:highlight w:val="none"/>
                              </w:rPr>
                              <w:t>企业报</w:t>
                            </w:r>
                            <w:r>
                              <w:rPr>
                                <w:rFonts w:hint="eastAsia" w:ascii="FangSong" w:hAnsi="FangSong" w:eastAsia="FangSong" w:cs="FangSong"/>
                                <w:spacing w:val="8"/>
                                <w:sz w:val="25"/>
                                <w:szCs w:val="25"/>
                                <w:highlight w:val="none"/>
                                <w:lang w:eastAsia="zh-CN"/>
                              </w:rPr>
                              <w:t>价</w:t>
                            </w:r>
                            <w:r>
                              <w:rPr>
                                <w:rFonts w:ascii="FangSong" w:hAnsi="FangSong" w:eastAsia="FangSong" w:cs="FangSong"/>
                                <w:spacing w:val="8"/>
                                <w:sz w:val="25"/>
                                <w:szCs w:val="25"/>
                                <w:highlight w:val="none"/>
                              </w:rPr>
                              <w:t>价</w:t>
                            </w:r>
                          </w:p>
                        </w:txbxContent>
                      </wps:txbx>
                      <wps:bodyPr lIns="0" tIns="0" rIns="0" bIns="0" upright="1"/>
                    </wps:wsp>
                  </a:graphicData>
                </a:graphic>
              </wp:anchor>
            </w:drawing>
          </mc:Choice>
          <mc:Fallback>
            <w:pict>
              <v:shape id="_x0000_s1026" o:spid="_x0000_s1026" o:spt="202" type="#_x0000_t202" style="position:absolute;left:0pt;margin-left:156.1pt;margin-top:0.25pt;height:14.5pt;width:170.05pt;z-index:251678720;mso-width-relative:page;mso-height-relative:page;" filled="f" stroked="f" coordsize="21600,21600" o:gfxdata="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c3e61gAAAAcBAAAPAAAAAAAAAAEAIAAAACIAAABkcnMvZG93bnJldi54bWxQSwEC&#10;FAAUAAAACACHTuJAyVEKBL0BAAB0AwAADgAAAAAAAAABACAAAAAlAQAAZHJzL2Uyb0RvYy54bWxQ&#10;SwUGAAAAAAYABgBZAQAAVAUAAAAA&#10;">
                <v:fill on="f" focussize="0,0"/>
                <v:stroke on="f"/>
                <v:imagedata o:title=""/>
                <o:lock v:ext="edit" aspectratio="f"/>
                <v:textbox inset="0mm,0mm,0mm,0mm">
                  <w:txbxContent>
                    <w:p w14:paraId="66042F26">
                      <w:pPr>
                        <w:spacing w:before="19" w:line="196" w:lineRule="auto"/>
                        <w:ind w:left="20"/>
                        <w:rPr>
                          <w:rFonts w:ascii="FangSong" w:hAnsi="FangSong" w:eastAsia="FangSong" w:cs="FangSong"/>
                          <w:sz w:val="25"/>
                          <w:szCs w:val="25"/>
                          <w:highlight w:val="none"/>
                        </w:rPr>
                      </w:pPr>
                      <w:r>
                        <w:rPr>
                          <w:rFonts w:ascii="FangSong" w:hAnsi="FangSong" w:eastAsia="FangSong" w:cs="FangSong"/>
                          <w:spacing w:val="8"/>
                          <w:sz w:val="25"/>
                          <w:szCs w:val="25"/>
                          <w:highlight w:val="none"/>
                        </w:rPr>
                        <w:t>最高有效申报价</w:t>
                      </w:r>
                      <w:r>
                        <w:rPr>
                          <w:rFonts w:ascii="Cambria Math" w:hAnsi="Cambria Math" w:eastAsia="Cambria Math" w:cs="Cambria Math"/>
                          <w:spacing w:val="8"/>
                          <w:sz w:val="25"/>
                          <w:szCs w:val="25"/>
                          <w:highlight w:val="none"/>
                        </w:rPr>
                        <w:t>−</w:t>
                      </w:r>
                      <w:r>
                        <w:rPr>
                          <w:rFonts w:ascii="FangSong" w:hAnsi="FangSong" w:eastAsia="FangSong" w:cs="FangSong"/>
                          <w:spacing w:val="8"/>
                          <w:sz w:val="25"/>
                          <w:szCs w:val="25"/>
                          <w:highlight w:val="none"/>
                        </w:rPr>
                        <w:t>企业报</w:t>
                      </w:r>
                      <w:r>
                        <w:rPr>
                          <w:rFonts w:hint="eastAsia" w:ascii="FangSong" w:hAnsi="FangSong" w:eastAsia="FangSong" w:cs="FangSong"/>
                          <w:spacing w:val="8"/>
                          <w:sz w:val="25"/>
                          <w:szCs w:val="25"/>
                          <w:highlight w:val="none"/>
                          <w:lang w:eastAsia="zh-CN"/>
                        </w:rPr>
                        <w:t>价</w:t>
                      </w:r>
                      <w:r>
                        <w:rPr>
                          <w:rFonts w:ascii="FangSong" w:hAnsi="FangSong" w:eastAsia="FangSong" w:cs="FangSong"/>
                          <w:spacing w:val="8"/>
                          <w:sz w:val="25"/>
                          <w:szCs w:val="25"/>
                          <w:highlight w:val="none"/>
                        </w:rPr>
                        <w:t>价</w:t>
                      </w:r>
                    </w:p>
                  </w:txbxContent>
                </v:textbox>
              </v:shape>
            </w:pict>
          </mc:Fallback>
        </mc:AlternateContent>
      </w:r>
      <w:r>
        <w:rPr>
          <w:rFonts w:hint="eastAsia" w:ascii="仿宋_GB2312" w:hAnsi="仿宋_GB2312" w:eastAsia="仿宋_GB2312" w:cs="仿宋_GB2312"/>
          <w:spacing w:val="-7"/>
          <w:sz w:val="30"/>
          <w:szCs w:val="30"/>
          <w:highlight w:val="none"/>
        </w:rPr>
        <w:t>企业降幅=</w:t>
      </w:r>
      <w:r>
        <w:rPr>
          <w:rFonts w:hint="eastAsia" w:ascii="仿宋_GB2312" w:hAnsi="仿宋_GB2312" w:eastAsia="仿宋_GB2312" w:cs="仿宋_GB2312"/>
          <w:strike/>
          <w:spacing w:val="4"/>
          <w:sz w:val="30"/>
          <w:szCs w:val="30"/>
          <w:highlight w:val="none"/>
        </w:rPr>
        <w:t xml:space="preserve">                             </w:t>
      </w:r>
      <w:r>
        <w:rPr>
          <w:rFonts w:hint="eastAsia" w:ascii="仿宋_GB2312" w:hAnsi="仿宋_GB2312" w:eastAsia="仿宋_GB2312" w:cs="仿宋_GB2312"/>
          <w:spacing w:val="-91"/>
          <w:sz w:val="30"/>
          <w:szCs w:val="30"/>
          <w:highlight w:val="none"/>
        </w:rPr>
        <w:t xml:space="preserve"> </w:t>
      </w:r>
      <w:r>
        <w:rPr>
          <w:rFonts w:hint="eastAsia" w:ascii="仿宋_GB2312" w:hAnsi="仿宋_GB2312" w:eastAsia="仿宋_GB2312" w:cs="仿宋_GB2312"/>
          <w:spacing w:val="-7"/>
          <w:sz w:val="30"/>
          <w:szCs w:val="30"/>
          <w:highlight w:val="none"/>
        </w:rPr>
        <w:t>×</w:t>
      </w:r>
      <w:r>
        <w:rPr>
          <w:rFonts w:hint="eastAsia" w:ascii="仿宋_GB2312" w:hAnsi="仿宋_GB2312" w:eastAsia="仿宋_GB2312" w:cs="仿宋_GB2312"/>
          <w:spacing w:val="-117"/>
          <w:sz w:val="30"/>
          <w:szCs w:val="30"/>
          <w:highlight w:val="none"/>
        </w:rPr>
        <w:t xml:space="preserve"> </w:t>
      </w:r>
      <w:r>
        <w:rPr>
          <w:rFonts w:hint="eastAsia" w:ascii="仿宋_GB2312" w:hAnsi="仿宋_GB2312" w:eastAsia="仿宋_GB2312" w:cs="仿宋_GB2312"/>
          <w:spacing w:val="-7"/>
          <w:sz w:val="30"/>
          <w:szCs w:val="30"/>
          <w:highlight w:val="none"/>
        </w:rPr>
        <w:t>100%</w:t>
      </w:r>
    </w:p>
    <w:p w14:paraId="2FB57359">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00"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z w:val="30"/>
          <w:szCs w:val="30"/>
          <w:highlight w:val="none"/>
        </w:rPr>
        <mc:AlternateContent>
          <mc:Choice Requires="wps">
            <w:drawing>
              <wp:anchor distT="0" distB="0" distL="114300" distR="114300" simplePos="0" relativeHeight="251679744" behindDoc="0" locked="0" layoutInCell="1" allowOverlap="1">
                <wp:simplePos x="0" y="0"/>
                <wp:positionH relativeFrom="column">
                  <wp:posOffset>2389505</wp:posOffset>
                </wp:positionH>
                <wp:positionV relativeFrom="paragraph">
                  <wp:posOffset>64770</wp:posOffset>
                </wp:positionV>
                <wp:extent cx="1424305" cy="2228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424305" cy="222885"/>
                        </a:xfrm>
                        <a:prstGeom prst="rect">
                          <a:avLst/>
                        </a:prstGeom>
                        <a:noFill/>
                        <a:ln>
                          <a:noFill/>
                        </a:ln>
                      </wps:spPr>
                      <wps:txbx>
                        <w:txbxContent>
                          <w:p w14:paraId="6A0139DF">
                            <w:pPr>
                              <w:spacing w:before="20" w:line="229" w:lineRule="auto"/>
                              <w:ind w:left="20"/>
                              <w:rPr>
                                <w:rFonts w:ascii="FangSong" w:hAnsi="FangSong" w:eastAsia="FangSong" w:cs="FangSong"/>
                                <w:sz w:val="25"/>
                                <w:szCs w:val="25"/>
                                <w:highlight w:val="none"/>
                              </w:rPr>
                            </w:pPr>
                            <w:r>
                              <w:rPr>
                                <w:rFonts w:hint="eastAsia" w:ascii="仿宋_GB2312" w:hAnsi="仿宋_GB2312" w:eastAsia="仿宋_GB2312" w:cs="仿宋_GB2312"/>
                                <w:spacing w:val="6"/>
                                <w:sz w:val="25"/>
                                <w:szCs w:val="25"/>
                                <w:highlight w:val="none"/>
                              </w:rPr>
                              <w:t>最高有效申报</w:t>
                            </w:r>
                            <w:r>
                              <w:rPr>
                                <w:rFonts w:ascii="FangSong" w:hAnsi="FangSong" w:eastAsia="FangSong" w:cs="FangSong"/>
                                <w:spacing w:val="6"/>
                                <w:sz w:val="25"/>
                                <w:szCs w:val="25"/>
                                <w:highlight w:val="none"/>
                              </w:rPr>
                              <w:t>价</w:t>
                            </w:r>
                          </w:p>
                        </w:txbxContent>
                      </wps:txbx>
                      <wps:bodyPr lIns="0" tIns="0" rIns="0" bIns="0" upright="1"/>
                    </wps:wsp>
                  </a:graphicData>
                </a:graphic>
              </wp:anchor>
            </w:drawing>
          </mc:Choice>
          <mc:Fallback>
            <w:pict>
              <v:shape id="_x0000_s1026" o:spid="_x0000_s1026" o:spt="202" type="#_x0000_t202" style="position:absolute;left:0pt;margin-left:188.15pt;margin-top:5.1pt;height:17.55pt;width:112.15pt;z-index:251679744;mso-width-relative:page;mso-height-relative:page;" filled="f" stroked="f" coordsize="21600,21600" o:gfxdata="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3NOZ3XAAAACQEAAA8AAAAAAAAAAQAgAAAAIgAAAGRycy9kb3ducmV2LnhtbFBLAQIU&#10;ABQAAAAIAIdO4kAocdxGuwEAAHQDAAAOAAAAAAAAAAEAIAAAACYBAABkcnMvZTJvRG9jLnhtbFBL&#10;BQYAAAAABgAGAFkBAABTBQAAAAA=&#10;">
                <v:fill on="f" focussize="0,0"/>
                <v:stroke on="f"/>
                <v:imagedata o:title=""/>
                <o:lock v:ext="edit" aspectratio="f"/>
                <v:textbox inset="0mm,0mm,0mm,0mm">
                  <w:txbxContent>
                    <w:p w14:paraId="6A0139DF">
                      <w:pPr>
                        <w:spacing w:before="20" w:line="229" w:lineRule="auto"/>
                        <w:ind w:left="20"/>
                        <w:rPr>
                          <w:rFonts w:ascii="FangSong" w:hAnsi="FangSong" w:eastAsia="FangSong" w:cs="FangSong"/>
                          <w:sz w:val="25"/>
                          <w:szCs w:val="25"/>
                          <w:highlight w:val="none"/>
                        </w:rPr>
                      </w:pPr>
                      <w:r>
                        <w:rPr>
                          <w:rFonts w:hint="eastAsia" w:ascii="仿宋_GB2312" w:hAnsi="仿宋_GB2312" w:eastAsia="仿宋_GB2312" w:cs="仿宋_GB2312"/>
                          <w:spacing w:val="6"/>
                          <w:sz w:val="25"/>
                          <w:szCs w:val="25"/>
                          <w:highlight w:val="none"/>
                        </w:rPr>
                        <w:t>最高有效申报</w:t>
                      </w:r>
                      <w:r>
                        <w:rPr>
                          <w:rFonts w:ascii="FangSong" w:hAnsi="FangSong" w:eastAsia="FangSong" w:cs="FangSong"/>
                          <w:spacing w:val="6"/>
                          <w:sz w:val="25"/>
                          <w:szCs w:val="25"/>
                          <w:highlight w:val="none"/>
                        </w:rPr>
                        <w:t>价</w:t>
                      </w:r>
                    </w:p>
                  </w:txbxContent>
                </v:textbox>
              </v:shape>
            </w:pict>
          </mc:Fallback>
        </mc:AlternateContent>
      </w:r>
    </w:p>
    <w:p w14:paraId="12012039">
      <w:pPr>
        <w:spacing w:before="181" w:line="333" w:lineRule="auto"/>
        <w:ind w:left="21" w:right="231" w:firstLine="597"/>
        <w:rPr>
          <w:rFonts w:hint="eastAsia" w:ascii="仿宋_GB2312" w:hAnsi="仿宋_GB2312" w:eastAsia="仿宋_GB2312" w:cs="仿宋_GB2312"/>
          <w:spacing w:val="9"/>
          <w:sz w:val="30"/>
          <w:szCs w:val="30"/>
          <w:highlight w:val="none"/>
          <w:lang w:val="en-US" w:eastAsia="zh-CN"/>
        </w:rPr>
      </w:pPr>
      <w:r>
        <w:rPr>
          <w:rFonts w:hint="eastAsia" w:ascii="仿宋_GB2312" w:hAnsi="仿宋_GB2312" w:eastAsia="仿宋_GB2312" w:cs="仿宋_GB2312"/>
          <w:spacing w:val="9"/>
          <w:sz w:val="30"/>
          <w:szCs w:val="30"/>
          <w:highlight w:val="none"/>
          <w:lang w:val="en-US" w:eastAsia="zh-CN"/>
        </w:rPr>
        <w:t>2.企业排名</w:t>
      </w:r>
    </w:p>
    <w:p w14:paraId="16F25B09">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Chars="20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按照企业降幅由大到小进行企业排名，降幅最大的企业为第1名，降幅第二的企业为第2名，以此类推。当出现企业降幅相同的情况，按照以下规则依次确定排名：①未被信用评级的优先；②我省历史采购量大的优先。如仍无法确定优先级，则按照同一位次排名，排名同位次企业的处理办法相同。</w:t>
      </w:r>
    </w:p>
    <w:p w14:paraId="7902B135">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28" w:name="_Toc1324560428"/>
      <w:bookmarkStart w:id="129" w:name="_Toc1598550688"/>
      <w:bookmarkStart w:id="130" w:name="_Toc12812"/>
      <w:bookmarkStart w:id="131" w:name="_Toc1573809393"/>
      <w:bookmarkStart w:id="132" w:name="_Toc1809027457"/>
      <w:r>
        <w:rPr>
          <w:rFonts w:hint="eastAsia" w:ascii="楷体_GB2312" w:hAnsi="楷体_GB2312" w:eastAsia="楷体_GB2312" w:cs="楷体_GB2312"/>
          <w:b w:val="0"/>
          <w:bCs/>
          <w:sz w:val="32"/>
          <w:szCs w:val="22"/>
          <w:highlight w:val="none"/>
          <w:lang w:val="en-US" w:eastAsia="zh-CN" w:bidi="ar-SA"/>
        </w:rPr>
        <w:t>（三）拟中选及协议采购量确定规则</w:t>
      </w:r>
      <w:bookmarkEnd w:id="128"/>
      <w:bookmarkEnd w:id="129"/>
      <w:bookmarkEnd w:id="130"/>
      <w:bookmarkEnd w:id="131"/>
      <w:bookmarkEnd w:id="132"/>
    </w:p>
    <w:p w14:paraId="5A6D7480">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本次集中带量采购品种对应的最高有效申报价、中选降幅见下表。企业降幅达到中选降幅的，获得拟中选资格；</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534"/>
        <w:gridCol w:w="2407"/>
        <w:gridCol w:w="2256"/>
      </w:tblGrid>
      <w:tr w14:paraId="07E2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tcPr>
          <w:p w14:paraId="7A059F40">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序号</w:t>
            </w:r>
          </w:p>
        </w:tc>
        <w:tc>
          <w:tcPr>
            <w:tcW w:w="1950" w:type="pct"/>
          </w:tcPr>
          <w:p w14:paraId="17ECF37D">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品种</w:t>
            </w:r>
          </w:p>
        </w:tc>
        <w:tc>
          <w:tcPr>
            <w:tcW w:w="1328" w:type="pct"/>
          </w:tcPr>
          <w:p w14:paraId="6CBC251A">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最高有效申报价（元）</w:t>
            </w:r>
          </w:p>
        </w:tc>
        <w:tc>
          <w:tcPr>
            <w:tcW w:w="1245" w:type="pct"/>
          </w:tcPr>
          <w:p w14:paraId="3E73C74C">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中选降幅</w:t>
            </w:r>
          </w:p>
        </w:tc>
      </w:tr>
      <w:tr w14:paraId="7C79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pct"/>
          </w:tcPr>
          <w:p w14:paraId="49F0E2A0">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w:t>
            </w:r>
          </w:p>
        </w:tc>
        <w:tc>
          <w:tcPr>
            <w:tcW w:w="1950" w:type="pct"/>
          </w:tcPr>
          <w:p w14:paraId="2AF954D5">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both"/>
              <w:textAlignment w:val="auto"/>
              <w:rPr>
                <w:rFonts w:hint="eastAsia" w:ascii="仿宋_GB2312" w:hAnsi="仿宋_GB2312" w:eastAsia="仿宋_GB2312" w:cs="仿宋_GB2312"/>
                <w:highlight w:val="none"/>
                <w:vertAlign w:val="baseline"/>
              </w:rPr>
            </w:pPr>
            <w:r>
              <w:rPr>
                <w:rFonts w:hint="eastAsia" w:ascii="仿宋_GB2312" w:hAnsi="仿宋_GB2312" w:eastAsia="仿宋_GB2312" w:cs="仿宋_GB2312"/>
                <w:spacing w:val="-1"/>
                <w:sz w:val="32"/>
                <w:szCs w:val="32"/>
                <w:highlight w:val="none"/>
                <w:lang w:val="en-US" w:eastAsia="zh-CN" w:bidi="ar-SA"/>
              </w:rPr>
              <w:t>一次性使用阴道扩张器</w:t>
            </w:r>
          </w:p>
        </w:tc>
        <w:tc>
          <w:tcPr>
            <w:tcW w:w="1328" w:type="pct"/>
          </w:tcPr>
          <w:p w14:paraId="6756377E">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0.831</w:t>
            </w:r>
          </w:p>
        </w:tc>
        <w:tc>
          <w:tcPr>
            <w:tcW w:w="1245" w:type="pct"/>
          </w:tcPr>
          <w:p w14:paraId="1920F6CC">
            <w:pPr>
              <w:pStyle w:val="8"/>
              <w:keepNext w:val="0"/>
              <w:keepLines w:val="0"/>
              <w:pageBreakBefore w:val="0"/>
              <w:widowControl w:val="0"/>
              <w:kinsoku/>
              <w:wordWrap/>
              <w:overflowPunct/>
              <w:topLinePunct w:val="0"/>
              <w:autoSpaceDE w:val="0"/>
              <w:autoSpaceDN w:val="0"/>
              <w:bidi w:val="0"/>
              <w:adjustRightInd/>
              <w:snapToGrid/>
              <w:spacing w:before="0" w:line="560" w:lineRule="exact"/>
              <w:ind w:right="0" w:rightChars="0"/>
              <w:jc w:val="center"/>
              <w:textAlignment w:val="auto"/>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35.74%</w:t>
            </w:r>
          </w:p>
        </w:tc>
      </w:tr>
    </w:tbl>
    <w:p w14:paraId="0719E9EB">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注：</w:t>
      </w:r>
    </w:p>
    <w:p w14:paraId="7C777FF9">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1.最高有效申报价：以集采历史用量收集周期内，全省公立医疗机构采购该产品的加权平均价。</w:t>
      </w:r>
    </w:p>
    <w:p w14:paraId="5E219A85">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2.中选降幅计算：最高有效申报价相较于福建省内已开展过集采的地市中产生的最高中选价，两者之间的价格差值占比即为此中选降幅。</w:t>
      </w:r>
    </w:p>
    <w:p w14:paraId="4851CC12">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3" w:firstLineChars="200"/>
        <w:textAlignment w:val="auto"/>
        <w:outlineLvl w:val="2"/>
        <w:rPr>
          <w:rFonts w:hint="eastAsia" w:ascii="仿宋_GB2312" w:hAnsi="仿宋_GB2312" w:eastAsia="仿宋_GB2312" w:cs="仿宋_GB2312"/>
          <w:highlight w:val="none"/>
        </w:rPr>
      </w:pPr>
      <w:bookmarkStart w:id="133" w:name="_Toc353416298"/>
      <w:bookmarkStart w:id="134" w:name="_Toc15739"/>
      <w:bookmarkStart w:id="135" w:name="_Toc1434251167"/>
      <w:bookmarkStart w:id="136" w:name="_Toc1448272884"/>
      <w:bookmarkStart w:id="137" w:name="_Toc1820989246"/>
      <w:bookmarkStart w:id="138" w:name="_Toc250995573"/>
      <w:r>
        <w:rPr>
          <w:rFonts w:hint="eastAsia" w:ascii="仿宋_GB2312" w:hAnsi="仿宋_GB2312" w:eastAsia="仿宋_GB2312" w:cs="仿宋_GB2312"/>
          <w:b/>
          <w:bCs w:val="0"/>
          <w:sz w:val="32"/>
          <w:szCs w:val="22"/>
          <w:highlight w:val="none"/>
          <w:lang w:val="en-US" w:eastAsia="zh-CN" w:bidi="ar-SA"/>
        </w:rPr>
        <w:t>1.拟中选规则</w:t>
      </w:r>
      <w:bookmarkEnd w:id="133"/>
      <w:bookmarkEnd w:id="134"/>
      <w:bookmarkEnd w:id="135"/>
      <w:bookmarkEnd w:id="136"/>
      <w:bookmarkEnd w:id="137"/>
      <w:bookmarkEnd w:id="138"/>
    </w:p>
    <w:p w14:paraId="10822857">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申报企业符合以下条件之一的，获得拟中选资格。若申报企业拟中选，则该企业所有申报产品拟中选。</w:t>
      </w:r>
    </w:p>
    <w:p w14:paraId="1E123D75">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（1）拟中选规则一：企业降幅达相应中选降幅要求的企业获得拟中选资格。</w:t>
      </w:r>
    </w:p>
    <w:p w14:paraId="330B9953">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spacing w:val="-1"/>
          <w:sz w:val="32"/>
          <w:szCs w:val="32"/>
          <w:highlight w:val="none"/>
          <w:lang w:val="en-US" w:eastAsia="zh-CN"/>
        </w:rPr>
        <w:t>（2）拟中选规则二：企业申报报价已符合报价要求，但企业报价未达到中选降幅要求，若该企业对应规格型号产品自采购文件发布日前三年内在全国各地市级（含联盟）及以上集中带量采购项目曾中选（含执行周期有交集及已中选未执行），则该规格型号产品获得拟中选资格。</w:t>
      </w:r>
    </w:p>
    <w:p w14:paraId="01352B7E">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3" w:firstLineChars="200"/>
        <w:textAlignment w:val="auto"/>
        <w:outlineLvl w:val="2"/>
        <w:rPr>
          <w:rFonts w:hint="eastAsia" w:ascii="仿宋_GB2312" w:hAnsi="仿宋_GB2312" w:eastAsia="仿宋_GB2312" w:cs="仿宋_GB2312"/>
          <w:b/>
          <w:bCs w:val="0"/>
          <w:sz w:val="32"/>
          <w:szCs w:val="22"/>
          <w:highlight w:val="none"/>
          <w:lang w:val="en-US" w:eastAsia="zh-CN" w:bidi="ar-SA"/>
        </w:rPr>
      </w:pPr>
      <w:bookmarkStart w:id="139" w:name="_Toc1184846055"/>
      <w:bookmarkStart w:id="140" w:name="_Toc824712703"/>
      <w:bookmarkStart w:id="141" w:name="_Toc1474930519"/>
      <w:bookmarkStart w:id="142" w:name="_Toc1576804125"/>
      <w:bookmarkStart w:id="143" w:name="_Toc2102909841"/>
      <w:bookmarkStart w:id="144" w:name="_Toc31479"/>
      <w:r>
        <w:rPr>
          <w:rFonts w:hint="eastAsia" w:ascii="仿宋_GB2312" w:hAnsi="仿宋_GB2312" w:eastAsia="仿宋_GB2312" w:cs="仿宋_GB2312"/>
          <w:b/>
          <w:bCs w:val="0"/>
          <w:sz w:val="32"/>
          <w:szCs w:val="22"/>
          <w:highlight w:val="none"/>
          <w:lang w:val="en-US" w:eastAsia="zh-CN" w:bidi="ar-SA"/>
        </w:rPr>
        <w:t>2.拟中选结果公示</w:t>
      </w:r>
      <w:bookmarkEnd w:id="139"/>
      <w:bookmarkEnd w:id="140"/>
      <w:bookmarkEnd w:id="141"/>
      <w:bookmarkEnd w:id="142"/>
      <w:bookmarkEnd w:id="143"/>
      <w:bookmarkEnd w:id="144"/>
    </w:p>
    <w:p w14:paraId="1460B665">
      <w:pPr>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jc w:val="left"/>
        <w:textAlignment w:val="auto"/>
        <w:rPr>
          <w:rFonts w:hint="eastAsia" w:ascii="仿宋_GB2312" w:hAnsi="仿宋_GB2312" w:eastAsia="仿宋_GB2312" w:cs="仿宋_GB2312"/>
          <w:spacing w:val="-1"/>
          <w:sz w:val="32"/>
          <w:szCs w:val="32"/>
          <w:highlight w:val="none"/>
        </w:rPr>
      </w:pPr>
      <w:r>
        <w:rPr>
          <w:rFonts w:hint="eastAsia" w:ascii="仿宋_GB2312" w:hAnsi="仿宋_GB2312" w:eastAsia="仿宋_GB2312" w:cs="仿宋_GB2312"/>
          <w:spacing w:val="-1"/>
          <w:sz w:val="32"/>
          <w:szCs w:val="32"/>
          <w:highlight w:val="none"/>
        </w:rPr>
        <w:t>拟中选结果产生后，予以公示并接受申投诉。</w:t>
      </w:r>
    </w:p>
    <w:p w14:paraId="2B309C62">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3" w:firstLineChars="200"/>
        <w:textAlignment w:val="auto"/>
        <w:outlineLvl w:val="2"/>
        <w:rPr>
          <w:rFonts w:hint="eastAsia" w:ascii="仿宋_GB2312" w:hAnsi="仿宋_GB2312" w:eastAsia="仿宋_GB2312" w:cs="仿宋_GB2312"/>
          <w:b/>
          <w:bCs w:val="0"/>
          <w:sz w:val="32"/>
          <w:szCs w:val="22"/>
          <w:highlight w:val="none"/>
          <w:lang w:val="en-US" w:eastAsia="zh-CN" w:bidi="ar-SA"/>
        </w:rPr>
      </w:pPr>
      <w:bookmarkStart w:id="145" w:name="_Toc1086941583"/>
      <w:bookmarkStart w:id="146" w:name="_Toc319835361"/>
      <w:bookmarkStart w:id="147" w:name="_Toc20568"/>
      <w:bookmarkStart w:id="148" w:name="_Toc1398724895"/>
      <w:r>
        <w:rPr>
          <w:rFonts w:hint="eastAsia" w:ascii="仿宋_GB2312" w:hAnsi="仿宋_GB2312" w:eastAsia="仿宋_GB2312" w:cs="仿宋_GB2312"/>
          <w:b/>
          <w:bCs w:val="0"/>
          <w:sz w:val="32"/>
          <w:szCs w:val="22"/>
          <w:highlight w:val="none"/>
          <w:lang w:val="en-US" w:eastAsia="zh-CN" w:bidi="ar-SA"/>
        </w:rPr>
        <w:t>3.中选结果公布</w:t>
      </w:r>
      <w:bookmarkEnd w:id="145"/>
      <w:bookmarkEnd w:id="146"/>
      <w:bookmarkEnd w:id="147"/>
      <w:bookmarkEnd w:id="148"/>
    </w:p>
    <w:p w14:paraId="7910366D">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拟中选结果公示无异议后，中选结果在</w:t>
      </w:r>
      <w:r>
        <w:rPr>
          <w:rFonts w:hint="eastAsia" w:ascii="仿宋_GB2312" w:hAnsi="仿宋_GB2312" w:eastAsia="仿宋_GB2312" w:cs="仿宋_GB2312"/>
          <w:highlight w:val="none"/>
          <w:lang w:val="en-US" w:eastAsia="zh-CN"/>
        </w:rPr>
        <w:t>泉州市</w:t>
      </w:r>
      <w:r>
        <w:rPr>
          <w:rFonts w:hint="eastAsia" w:ascii="仿宋_GB2312" w:hAnsi="仿宋_GB2312" w:eastAsia="仿宋_GB2312" w:cs="仿宋_GB2312"/>
          <w:highlight w:val="none"/>
        </w:rPr>
        <w:t>医疗保障局官网公布。</w:t>
      </w:r>
    </w:p>
    <w:p w14:paraId="03F281F0">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3" w:firstLineChars="200"/>
        <w:textAlignment w:val="auto"/>
        <w:outlineLvl w:val="2"/>
        <w:rPr>
          <w:rFonts w:hint="eastAsia" w:ascii="仿宋_GB2312" w:hAnsi="仿宋_GB2312" w:eastAsia="仿宋_GB2312" w:cs="仿宋_GB2312"/>
          <w:b/>
          <w:bCs w:val="0"/>
          <w:sz w:val="32"/>
          <w:szCs w:val="22"/>
          <w:highlight w:val="none"/>
          <w:lang w:val="en-US" w:eastAsia="zh-CN" w:bidi="ar-SA"/>
        </w:rPr>
      </w:pPr>
      <w:bookmarkStart w:id="149" w:name="_Toc1731284099"/>
      <w:bookmarkStart w:id="150" w:name="_Toc2013310203"/>
      <w:bookmarkStart w:id="151" w:name="_Toc321343886"/>
      <w:bookmarkStart w:id="152" w:name="_Toc928767780"/>
      <w:bookmarkStart w:id="153" w:name="_Toc1076475870"/>
      <w:bookmarkStart w:id="154" w:name="_Toc24362"/>
      <w:r>
        <w:rPr>
          <w:rFonts w:hint="eastAsia" w:ascii="仿宋_GB2312" w:hAnsi="仿宋_GB2312" w:eastAsia="仿宋_GB2312" w:cs="仿宋_GB2312"/>
          <w:b/>
          <w:bCs w:val="0"/>
          <w:sz w:val="32"/>
          <w:szCs w:val="22"/>
          <w:highlight w:val="none"/>
          <w:lang w:val="en-US" w:eastAsia="zh-CN" w:bidi="ar-SA"/>
        </w:rPr>
        <w:t>4.协议采购量确定</w:t>
      </w:r>
      <w:bookmarkEnd w:id="149"/>
      <w:bookmarkEnd w:id="150"/>
      <w:bookmarkEnd w:id="151"/>
      <w:bookmarkEnd w:id="152"/>
      <w:bookmarkEnd w:id="153"/>
      <w:bookmarkEnd w:id="154"/>
    </w:p>
    <w:p w14:paraId="24186781">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jc w:val="both"/>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lang w:val="en-US" w:eastAsia="zh-CN"/>
        </w:rPr>
        <w:t>由参与本次联盟采购的医疗机构在中选企业中自行选择分配（最多不超过2家）。并登录联盟集采网址完成协议量确认工作。</w:t>
      </w:r>
    </w:p>
    <w:p w14:paraId="6B2A2BC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55" w:name="四、采购与配送"/>
      <w:bookmarkEnd w:id="155"/>
      <w:bookmarkStart w:id="156" w:name="_Toc1952239689"/>
      <w:bookmarkStart w:id="157" w:name="_Toc1435918690"/>
      <w:bookmarkStart w:id="158" w:name="_Toc7300"/>
      <w:bookmarkStart w:id="159" w:name="_Toc63437395"/>
      <w:bookmarkStart w:id="160" w:name="_Toc903294936"/>
      <w:r>
        <w:rPr>
          <w:rFonts w:hint="eastAsia" w:ascii="黑体" w:hAnsi="黑体" w:eastAsia="黑体" w:cs="黑体"/>
          <w:b w:val="0"/>
          <w:bCs w:val="0"/>
          <w:highlight w:val="none"/>
          <w:lang w:val="en-US" w:eastAsia="zh-CN"/>
        </w:rPr>
        <w:t>四、采购与配送</w:t>
      </w:r>
      <w:bookmarkEnd w:id="156"/>
      <w:bookmarkEnd w:id="157"/>
      <w:bookmarkEnd w:id="158"/>
      <w:bookmarkEnd w:id="159"/>
      <w:bookmarkEnd w:id="160"/>
    </w:p>
    <w:p w14:paraId="7BFF149E">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61" w:name="_Toc8954"/>
      <w:bookmarkStart w:id="162" w:name="_Toc64197844"/>
      <w:bookmarkStart w:id="163" w:name="_Toc2037294157"/>
      <w:r>
        <w:rPr>
          <w:rFonts w:hint="eastAsia" w:ascii="楷体_GB2312" w:hAnsi="楷体_GB2312" w:eastAsia="楷体_GB2312" w:cs="楷体_GB2312"/>
          <w:b w:val="0"/>
          <w:bCs/>
          <w:sz w:val="32"/>
          <w:szCs w:val="22"/>
          <w:highlight w:val="none"/>
          <w:lang w:val="en-US" w:eastAsia="zh-CN" w:bidi="ar-SA"/>
        </w:rPr>
        <w:t>（一）签订带量购销合同</w:t>
      </w:r>
      <w:bookmarkEnd w:id="161"/>
      <w:bookmarkEnd w:id="162"/>
      <w:bookmarkEnd w:id="163"/>
    </w:p>
    <w:p w14:paraId="01C54754">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1.各中选企业应按照中选产品、中选价格及协议采购量与配送企业、医疗机构签订带量购销合同，并严格履行购销合同，切实保障医用耗材质量和供应。</w:t>
      </w:r>
    </w:p>
    <w:p w14:paraId="335E43AF">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2.购销合同签订后，医疗机构与中选企业不得再订立背离合同实质性内容的其他协议或提出除合同之外的任何利益性要求。</w:t>
      </w:r>
    </w:p>
    <w:p w14:paraId="51DB5B67">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2"/>
        <w:rPr>
          <w:rFonts w:hint="eastAsia" w:ascii="楷体_GB2312" w:hAnsi="楷体_GB2312" w:eastAsia="楷体_GB2312" w:cs="楷体_GB2312"/>
          <w:b w:val="0"/>
          <w:bCs/>
          <w:sz w:val="32"/>
          <w:szCs w:val="22"/>
          <w:highlight w:val="none"/>
          <w:lang w:val="en-US" w:eastAsia="zh-CN" w:bidi="ar-SA"/>
        </w:rPr>
      </w:pPr>
      <w:bookmarkStart w:id="164" w:name="_Toc8248"/>
      <w:bookmarkStart w:id="165" w:name="_Toc936373314"/>
      <w:bookmarkStart w:id="166" w:name="_Toc1323628931"/>
      <w:r>
        <w:rPr>
          <w:rFonts w:hint="eastAsia" w:ascii="楷体_GB2312" w:hAnsi="楷体_GB2312" w:eastAsia="楷体_GB2312" w:cs="楷体_GB2312"/>
          <w:b w:val="0"/>
          <w:bCs/>
          <w:sz w:val="32"/>
          <w:szCs w:val="22"/>
          <w:highlight w:val="none"/>
          <w:lang w:val="en-US" w:eastAsia="zh-CN" w:bidi="ar-SA"/>
        </w:rPr>
        <w:t>（二）医用耗材配送</w:t>
      </w:r>
      <w:bookmarkEnd w:id="164"/>
      <w:bookmarkEnd w:id="165"/>
      <w:bookmarkEnd w:id="166"/>
    </w:p>
    <w:p w14:paraId="09B8FC94">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1.各中选企业应确保产品质量，保证供应配送，按不低于集中带量采购前水平提供中选产品配套设施及伴随服务，以保障正常临床医疗工作开展。</w:t>
      </w:r>
    </w:p>
    <w:p w14:paraId="0272CC34">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2.集中采购供应的中选医用耗材产品应是保障临床需求的常用包装。</w:t>
      </w:r>
    </w:p>
    <w:p w14:paraId="3CEB86BB">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3.配送企业应按照合同约定和医疗机构采购需求及时送达医用耗材。</w:t>
      </w:r>
    </w:p>
    <w:p w14:paraId="279103B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67" w:name="五、货款结算"/>
      <w:bookmarkEnd w:id="167"/>
      <w:bookmarkStart w:id="168" w:name="_Toc1331012549"/>
      <w:bookmarkStart w:id="169" w:name="_Toc2118225312"/>
      <w:bookmarkStart w:id="170" w:name="_Toc16125"/>
      <w:bookmarkStart w:id="171" w:name="_Toc1878881555"/>
      <w:bookmarkStart w:id="172" w:name="_Toc1779897194"/>
      <w:bookmarkStart w:id="173" w:name="_Toc2096081493"/>
      <w:r>
        <w:rPr>
          <w:rFonts w:hint="eastAsia" w:ascii="黑体" w:hAnsi="黑体" w:eastAsia="黑体" w:cs="黑体"/>
          <w:b w:val="0"/>
          <w:bCs w:val="0"/>
          <w:highlight w:val="none"/>
          <w:lang w:eastAsia="zh-CN"/>
        </w:rPr>
        <w:t>五、货款结算</w:t>
      </w:r>
      <w:bookmarkEnd w:id="168"/>
      <w:bookmarkEnd w:id="169"/>
      <w:bookmarkEnd w:id="170"/>
      <w:bookmarkEnd w:id="171"/>
      <w:bookmarkEnd w:id="172"/>
      <w:bookmarkEnd w:id="173"/>
    </w:p>
    <w:p w14:paraId="30E14A82">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各公立医疗机构均应通过福建省医疗保障信息平台药品和医用耗材招标和采购交易子系统采购中选产品，当地医保经办机构于每月15日前按规定向企业支付上一月的医用耗材产品货款。</w:t>
      </w:r>
    </w:p>
    <w:p w14:paraId="2D78963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outlineLvl w:val="1"/>
        <w:rPr>
          <w:rFonts w:hint="eastAsia" w:ascii="黑体" w:hAnsi="黑体" w:eastAsia="黑体" w:cs="黑体"/>
          <w:b w:val="0"/>
          <w:bCs w:val="0"/>
          <w:highlight w:val="none"/>
          <w:lang w:eastAsia="zh-CN"/>
        </w:rPr>
      </w:pPr>
      <w:bookmarkStart w:id="174" w:name="_Toc260615473"/>
      <w:bookmarkStart w:id="175" w:name="_Toc1359141321"/>
      <w:bookmarkStart w:id="176" w:name="_Toc2138243891"/>
      <w:bookmarkStart w:id="177" w:name="_Toc1315395829"/>
      <w:bookmarkStart w:id="178" w:name="_Toc31254"/>
      <w:bookmarkStart w:id="179" w:name="_Toc1762749397"/>
      <w:r>
        <w:rPr>
          <w:rFonts w:hint="eastAsia" w:ascii="黑体" w:hAnsi="黑体" w:eastAsia="黑体" w:cs="黑体"/>
          <w:b w:val="0"/>
          <w:bCs w:val="0"/>
          <w:highlight w:val="none"/>
          <w:lang w:eastAsia="zh-CN"/>
        </w:rPr>
        <w:t>六、其他</w:t>
      </w:r>
      <w:bookmarkEnd w:id="174"/>
      <w:bookmarkEnd w:id="175"/>
      <w:bookmarkEnd w:id="176"/>
      <w:bookmarkEnd w:id="177"/>
      <w:bookmarkEnd w:id="178"/>
      <w:bookmarkEnd w:id="179"/>
    </w:p>
    <w:p w14:paraId="5E01A09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（一）申报企业、配送企业如有以下行为，经有关部门认定情节严重的将被列入“违规名单”：</w:t>
      </w:r>
    </w:p>
    <w:p w14:paraId="7B1C1A9F">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1.提供回扣或其他商业贿赂，进行非法促销活动。</w:t>
      </w:r>
    </w:p>
    <w:p w14:paraId="3BB13165">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2.以低于成本的价格恶意申报，扰乱市场秩序。</w:t>
      </w:r>
    </w:p>
    <w:p w14:paraId="37A1476A">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80" w:name="六、其他"/>
      <w:bookmarkEnd w:id="180"/>
      <w:r>
        <w:rPr>
          <w:rFonts w:hint="eastAsia" w:ascii="仿宋_GB2312" w:hAnsi="仿宋_GB2312" w:eastAsia="仿宋_GB2312" w:cs="仿宋_GB2312"/>
          <w:spacing w:val="-1"/>
          <w:sz w:val="32"/>
          <w:szCs w:val="32"/>
          <w:highlight w:val="none"/>
          <w:lang w:val="en-US" w:eastAsia="zh-CN"/>
        </w:rPr>
        <w:t>3.以欺诈、串通投标、滥用市场支配地位等方式竞标扰乱集中采购秩序。</w:t>
      </w:r>
    </w:p>
    <w:p w14:paraId="694A08C5">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81" w:name="_Toc259855241"/>
      <w:r>
        <w:rPr>
          <w:rFonts w:hint="eastAsia" w:ascii="仿宋_GB2312" w:hAnsi="仿宋_GB2312" w:eastAsia="仿宋_GB2312" w:cs="仿宋_GB2312"/>
          <w:spacing w:val="-1"/>
          <w:sz w:val="32"/>
          <w:szCs w:val="32"/>
          <w:highlight w:val="none"/>
          <w:lang w:val="en-US" w:eastAsia="zh-CN"/>
        </w:rPr>
        <w:t>4.以向采购方、采购机构行贿等手段牟取中选。</w:t>
      </w:r>
      <w:bookmarkEnd w:id="181"/>
    </w:p>
    <w:p w14:paraId="42F29AB2">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5.提供虚假证明文件及文献资料，或者以其他方式弄虚作假，骗取中选。</w:t>
      </w:r>
    </w:p>
    <w:p w14:paraId="438AF42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6.在规定期限内不签订带量购销合同。</w:t>
      </w:r>
    </w:p>
    <w:p w14:paraId="1C0D99A8">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7.中选企业、配送企业未按采购方以及法律法规要求实行配送。</w:t>
      </w:r>
    </w:p>
    <w:p w14:paraId="04125F45">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8.放弃拟中选或中选资格。</w:t>
      </w:r>
    </w:p>
    <w:p w14:paraId="06B15359">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9.除不可抗力因素外，不履行供货承诺，影响临床使用。</w:t>
      </w:r>
    </w:p>
    <w:p w14:paraId="0BD8C13B">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10.中选后发生严重质量问题。</w:t>
      </w:r>
    </w:p>
    <w:p w14:paraId="4E95F13A">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11.中选后在规定的抽检或飞行检查中发现严重违背申报材料中作出承诺的情形。</w:t>
      </w:r>
    </w:p>
    <w:p w14:paraId="1868D974">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bookmarkStart w:id="182" w:name="_Toc1552781136"/>
      <w:r>
        <w:rPr>
          <w:rFonts w:hint="eastAsia" w:ascii="仿宋_GB2312" w:hAnsi="仿宋_GB2312" w:eastAsia="仿宋_GB2312" w:cs="仿宋_GB2312"/>
          <w:spacing w:val="-1"/>
          <w:sz w:val="32"/>
          <w:szCs w:val="32"/>
          <w:highlight w:val="none"/>
          <w:lang w:val="en-US" w:eastAsia="zh-CN"/>
        </w:rPr>
        <w:t>12.其他违反法律法规的行为。</w:t>
      </w:r>
      <w:bookmarkEnd w:id="182"/>
    </w:p>
    <w:p w14:paraId="5A1D8751">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（二）申报企业、配送企业列入“违规名单”的，取消相关企业</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lang w:val="en-US" w:eastAsia="zh-CN"/>
        </w:rPr>
        <w:t>的申报、中选、配送资格。同时视情节轻重取消上述企业在列入“违规名单”之日起2年内参与我省各地市医用耗材采购活动的资格。</w:t>
      </w:r>
    </w:p>
    <w:p w14:paraId="62856454">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eastAsia"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（三）患者使用中选医用耗材时，因中选医用耗材生产质量原因造成人身伤害的，由中选企业承担全部赔偿责任。</w:t>
      </w:r>
    </w:p>
    <w:p w14:paraId="420DE2FB">
      <w:pPr>
        <w:pStyle w:val="23"/>
        <w:keepNext w:val="0"/>
        <w:keepLines w:val="0"/>
        <w:pageBreakBefore w:val="0"/>
        <w:widowControl w:val="0"/>
        <w:numPr>
          <w:ilvl w:val="0"/>
          <w:numId w:val="0"/>
        </w:numPr>
        <w:tabs>
          <w:tab w:val="left" w:pos="1066"/>
        </w:tabs>
        <w:kinsoku/>
        <w:wordWrap/>
        <w:overflowPunct/>
        <w:topLinePunct w:val="0"/>
        <w:autoSpaceDE w:val="0"/>
        <w:autoSpaceDN w:val="0"/>
        <w:bidi w:val="0"/>
        <w:adjustRightInd/>
        <w:snapToGrid/>
        <w:spacing w:before="0" w:after="0" w:line="560" w:lineRule="exact"/>
        <w:ind w:left="0" w:right="0" w:rightChars="0" w:firstLine="636" w:firstLineChars="200"/>
        <w:jc w:val="both"/>
        <w:textAlignment w:val="auto"/>
        <w:rPr>
          <w:rFonts w:hint="default" w:ascii="仿宋_GB2312" w:hAnsi="仿宋_GB2312" w:eastAsia="仿宋_GB2312" w:cs="仿宋_GB2312"/>
          <w:spacing w:val="-1"/>
          <w:sz w:val="32"/>
          <w:szCs w:val="32"/>
          <w:highlight w:val="none"/>
          <w:lang w:val="en-US" w:eastAsia="zh-CN"/>
        </w:rPr>
      </w:pPr>
      <w:r>
        <w:rPr>
          <w:rFonts w:hint="eastAsia" w:ascii="仿宋_GB2312" w:hAnsi="仿宋_GB2312" w:eastAsia="仿宋_GB2312" w:cs="仿宋_GB2312"/>
          <w:spacing w:val="-1"/>
          <w:sz w:val="32"/>
          <w:szCs w:val="32"/>
          <w:highlight w:val="none"/>
          <w:lang w:val="en-US" w:eastAsia="zh-CN"/>
        </w:rPr>
        <w:t>（四）中选结果实际执行日起，中选产品医疗器械注册证应在有效期内。如未在有效期内，则取消该注册证产品的中选资格。</w:t>
      </w:r>
    </w:p>
    <w:p w14:paraId="6CA5B3A4">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36" w:firstLineChars="200"/>
        <w:textAlignment w:val="auto"/>
        <w:rPr>
          <w:rFonts w:hint="eastAsia" w:ascii="仿宋_GB2312" w:hAnsi="仿宋_GB2312" w:eastAsia="仿宋_GB2312" w:cs="仿宋_GB2312"/>
          <w:spacing w:val="-1"/>
          <w:sz w:val="32"/>
          <w:szCs w:val="32"/>
          <w:highlight w:val="none"/>
          <w:lang w:val="en-US" w:eastAsia="zh-CN"/>
        </w:rPr>
        <w:sectPr>
          <w:footerReference r:id="rId8" w:type="default"/>
          <w:pgSz w:w="11910" w:h="16840"/>
          <w:pgMar w:top="2098" w:right="1474" w:bottom="1984" w:left="1587" w:header="1145" w:footer="1276" w:gutter="0"/>
          <w:pgBorders>
            <w:top w:val="none" w:sz="0" w:space="0"/>
            <w:left w:val="none" w:sz="0" w:space="0"/>
            <w:bottom w:val="none" w:sz="0" w:space="0"/>
            <w:right w:val="none" w:sz="0" w:space="0"/>
          </w:pgBorders>
          <w:pgNumType w:fmt="decimal" w:start="1"/>
          <w:cols w:space="720" w:num="1"/>
        </w:sectPr>
      </w:pPr>
      <w:r>
        <w:rPr>
          <w:rFonts w:hint="eastAsia" w:ascii="仿宋_GB2312" w:hAnsi="仿宋_GB2312" w:eastAsia="仿宋_GB2312" w:cs="仿宋_GB2312"/>
          <w:spacing w:val="-1"/>
          <w:sz w:val="32"/>
          <w:szCs w:val="32"/>
          <w:highlight w:val="none"/>
          <w:lang w:val="en-US" w:eastAsia="zh-CN"/>
        </w:rPr>
        <w:t>（五）本采购文件仅适用于</w:t>
      </w:r>
      <w:r>
        <w:rPr>
          <w:rFonts w:hint="eastAsia" w:ascii="仿宋_GB2312" w:hAnsi="仿宋_GB2312" w:eastAsia="仿宋_GB2312" w:cs="仿宋_GB2312"/>
          <w:spacing w:val="-1"/>
          <w:sz w:val="32"/>
          <w:szCs w:val="32"/>
          <w:highlight w:val="none"/>
          <w:lang w:val="en-US" w:eastAsia="zh-CN" w:bidi="ar-SA"/>
        </w:rPr>
        <w:t>本次联盟采购</w:t>
      </w:r>
      <w:r>
        <w:rPr>
          <w:rFonts w:hint="eastAsia" w:ascii="仿宋_GB2312" w:hAnsi="仿宋_GB2312" w:eastAsia="仿宋_GB2312" w:cs="仿宋_GB2312"/>
          <w:spacing w:val="-1"/>
          <w:sz w:val="32"/>
          <w:szCs w:val="32"/>
          <w:highlight w:val="none"/>
          <w:lang w:val="en-US" w:eastAsia="zh-CN"/>
        </w:rPr>
        <w:t>邀请函中所述项目的医用耗材及相关服务，最终解释权归</w:t>
      </w:r>
      <w:r>
        <w:rPr>
          <w:rFonts w:hint="eastAsia" w:ascii="仿宋_GB2312" w:hAnsi="仿宋_GB2312" w:eastAsia="仿宋_GB2312" w:cs="仿宋_GB2312"/>
          <w:spacing w:val="-1"/>
          <w:sz w:val="32"/>
          <w:szCs w:val="32"/>
          <w:highlight w:val="none"/>
          <w:lang w:val="en-US" w:eastAsia="zh-CN" w:bidi="ar-SA"/>
        </w:rPr>
        <w:t>一次性使用阴道扩张器全省性联盟集采领导小组办公室</w:t>
      </w:r>
      <w:r>
        <w:rPr>
          <w:rFonts w:hint="eastAsia" w:ascii="仿宋_GB2312" w:hAnsi="仿宋_GB2312" w:eastAsia="仿宋_GB2312" w:cs="仿宋_GB2312"/>
          <w:spacing w:val="-1"/>
          <w:sz w:val="32"/>
          <w:szCs w:val="32"/>
          <w:highlight w:val="none"/>
          <w:lang w:val="en-US" w:eastAsia="zh-CN"/>
        </w:rPr>
        <w:t>。</w:t>
      </w:r>
    </w:p>
    <w:p w14:paraId="04CDA26A">
      <w:pPr>
        <w:pStyle w:val="2"/>
        <w:bidi w:val="0"/>
        <w:ind w:left="0" w:leftChars="0" w:firstLine="0" w:firstLineChars="0"/>
        <w:jc w:val="center"/>
        <w:outlineLvl w:val="0"/>
        <w:rPr>
          <w:rFonts w:hint="eastAsia" w:ascii="方正小标宋简体" w:hAnsi="方正小标宋简体" w:eastAsia="方正小标宋简体" w:cs="方正小标宋简体"/>
          <w:highlight w:val="none"/>
        </w:rPr>
      </w:pPr>
      <w:bookmarkStart w:id="183" w:name="_TOC_250000"/>
      <w:bookmarkEnd w:id="183"/>
      <w:bookmarkStart w:id="184" w:name="_Toc1745576607"/>
      <w:bookmarkStart w:id="185" w:name="_Toc1663486159"/>
      <w:bookmarkStart w:id="186" w:name="_Toc75028391"/>
      <w:bookmarkStart w:id="187" w:name="_Toc1473727139"/>
      <w:bookmarkStart w:id="188" w:name="_Toc10494"/>
      <w:bookmarkStart w:id="189" w:name="_Toc528788401"/>
      <w:bookmarkStart w:id="190" w:name="_Toc1992205014"/>
      <w:r>
        <w:rPr>
          <w:rFonts w:hint="eastAsia" w:ascii="方正小标宋简体" w:hAnsi="方正小标宋简体" w:eastAsia="方正小标宋简体" w:cs="方正小标宋简体"/>
          <w:highlight w:val="none"/>
        </w:rPr>
        <w:t>第三部分</w:t>
      </w:r>
      <w:r>
        <w:rPr>
          <w:rFonts w:hint="eastAsia" w:ascii="方正小标宋简体" w:hAnsi="方正小标宋简体" w:eastAsia="方正小标宋简体" w:cs="方正小标宋简体"/>
          <w:highlight w:val="none"/>
          <w:lang w:val="en-US" w:eastAsia="zh-CN"/>
        </w:rPr>
        <w:t xml:space="preserve"> </w:t>
      </w:r>
      <w:r>
        <w:rPr>
          <w:rFonts w:hint="eastAsia" w:ascii="方正小标宋简体" w:hAnsi="方正小标宋简体" w:eastAsia="方正小标宋简体" w:cs="方正小标宋简体"/>
          <w:highlight w:val="none"/>
        </w:rPr>
        <w:t>附件</w:t>
      </w:r>
      <w:bookmarkEnd w:id="184"/>
      <w:bookmarkEnd w:id="185"/>
      <w:bookmarkEnd w:id="186"/>
      <w:bookmarkEnd w:id="187"/>
      <w:bookmarkEnd w:id="188"/>
      <w:bookmarkEnd w:id="189"/>
      <w:bookmarkEnd w:id="190"/>
    </w:p>
    <w:p w14:paraId="0D2BEBB7">
      <w:pPr>
        <w:pStyle w:val="14"/>
        <w:keepNext w:val="0"/>
        <w:keepLines w:val="0"/>
        <w:widowControl w:val="0"/>
        <w:suppressLineNumbers w:val="0"/>
        <w:autoSpaceDE w:val="0"/>
        <w:autoSpaceDN w:val="0"/>
        <w:spacing w:before="4" w:beforeAutospacing="0" w:after="0" w:afterAutospacing="0"/>
        <w:ind w:left="0" w:right="508" w:rightChars="231"/>
        <w:jc w:val="left"/>
        <w:rPr>
          <w:rFonts w:hint="eastAsia" w:ascii="宋体" w:hAnsi="仿宋" w:eastAsia="仿宋" w:cs="仿宋"/>
          <w:sz w:val="21"/>
          <w:szCs w:val="21"/>
          <w:highlight w:val="none"/>
        </w:rPr>
      </w:pPr>
      <w:r>
        <w:rPr>
          <w:rFonts w:hint="eastAsia" w:ascii="宋体" w:hAnsi="仿宋" w:eastAsia="仿宋" w:cs="仿宋"/>
          <w:kern w:val="0"/>
          <w:sz w:val="21"/>
          <w:szCs w:val="21"/>
          <w:highlight w:val="none"/>
          <w:lang w:val="en-US" w:eastAsia="zh-CN" w:bidi="ar"/>
        </w:rPr>
        <w:t xml:space="preserve"> </w:t>
      </w:r>
    </w:p>
    <w:p w14:paraId="4C71E8BD">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jc w:val="both"/>
        <w:textAlignment w:val="baseline"/>
        <w:rPr>
          <w:rFonts w:hint="eastAsia" w:ascii="黑体" w:hAnsi="黑体" w:eastAsia="黑体" w:cs="黑体"/>
          <w:snapToGrid w:val="0"/>
          <w:color w:val="auto"/>
          <w:kern w:val="0"/>
          <w:sz w:val="32"/>
          <w:szCs w:val="32"/>
          <w:highlight w:val="none"/>
          <w:lang w:val="en-US" w:eastAsia="zh-CN"/>
        </w:rPr>
      </w:pPr>
      <w:bookmarkStart w:id="191" w:name="_Toc2030899334"/>
      <w:bookmarkStart w:id="192" w:name="_Toc159533306"/>
      <w:bookmarkStart w:id="193" w:name="_Toc93056801"/>
      <w:r>
        <w:rPr>
          <w:rFonts w:hint="eastAsia" w:ascii="黑体" w:hAnsi="黑体" w:eastAsia="黑体" w:cs="黑体"/>
          <w:snapToGrid w:val="0"/>
          <w:color w:val="auto"/>
          <w:kern w:val="0"/>
          <w:sz w:val="32"/>
          <w:szCs w:val="32"/>
          <w:highlight w:val="none"/>
          <w:lang w:val="en-US" w:eastAsia="zh-CN"/>
        </w:rPr>
        <w:t>附件1</w:t>
      </w:r>
      <w:bookmarkEnd w:id="191"/>
      <w:bookmarkEnd w:id="192"/>
      <w:bookmarkEnd w:id="193"/>
    </w:p>
    <w:p w14:paraId="0D1E461F">
      <w:pPr>
        <w:keepNext w:val="0"/>
        <w:keepLines w:val="0"/>
        <w:pageBreakBefore w:val="0"/>
        <w:widowControl w:val="0"/>
        <w:kinsoku/>
        <w:wordWrap/>
        <w:overflowPunct/>
        <w:topLinePunct w:val="0"/>
        <w:autoSpaceDE/>
        <w:autoSpaceDN/>
        <w:bidi w:val="0"/>
        <w:adjustRightInd/>
        <w:snapToGrid/>
        <w:spacing w:before="0" w:after="0" w:line="560" w:lineRule="exact"/>
        <w:ind w:left="0" w:right="508" w:rightChars="231" w:firstLine="640" w:firstLineChars="200"/>
        <w:jc w:val="center"/>
        <w:textAlignment w:val="auto"/>
        <w:rPr>
          <w:rFonts w:hint="eastAsia" w:ascii="黑体" w:hAnsi="黑体" w:eastAsia="黑体" w:cs="黑体"/>
          <w:color w:val="000000"/>
          <w:kern w:val="0"/>
          <w:sz w:val="32"/>
          <w:szCs w:val="32"/>
          <w:highlight w:val="none"/>
          <w:lang w:val="en-US" w:eastAsia="zh-CN" w:bidi="ar"/>
        </w:rPr>
      </w:pPr>
    </w:p>
    <w:p w14:paraId="7CA05C4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508" w:rightChars="231"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kern w:val="0"/>
          <w:sz w:val="32"/>
          <w:szCs w:val="32"/>
          <w:highlight w:val="none"/>
          <w:lang w:val="en-US" w:eastAsia="zh-CN" w:bidi="ar"/>
        </w:rPr>
        <w:t>一次性使用阴道扩张器全省性联盟集中带量采购</w:t>
      </w:r>
    </w:p>
    <w:p w14:paraId="4A91D5B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508" w:rightChars="231"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kern w:val="0"/>
          <w:sz w:val="32"/>
          <w:szCs w:val="32"/>
          <w:highlight w:val="none"/>
          <w:lang w:val="en-US" w:eastAsia="zh-CN" w:bidi="ar"/>
        </w:rPr>
        <w:t>参与情况表</w:t>
      </w:r>
    </w:p>
    <w:p w14:paraId="70F8D7BA">
      <w:pPr>
        <w:keepNext w:val="0"/>
        <w:keepLines w:val="0"/>
        <w:pageBreakBefore w:val="0"/>
        <w:widowControl w:val="0"/>
        <w:kinsoku/>
        <w:wordWrap/>
        <w:overflowPunct/>
        <w:topLinePunct w:val="0"/>
        <w:autoSpaceDE/>
        <w:autoSpaceDN/>
        <w:bidi w:val="0"/>
        <w:adjustRightInd/>
        <w:snapToGrid/>
        <w:spacing w:before="0" w:after="0" w:line="560" w:lineRule="exact"/>
        <w:ind w:left="0" w:right="508" w:rightChars="231"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6044"/>
      </w:tblGrid>
      <w:tr w14:paraId="6A94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tcBorders>
              <w:tl2br w:val="single" w:color="auto" w:sz="4" w:space="0"/>
            </w:tcBorders>
          </w:tcPr>
          <w:p w14:paraId="1D71DCF7">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eastAsia" w:ascii="仿宋_GB2312" w:hAnsi="仿宋_GB2312" w:eastAsia="仿宋_GB2312" w:cs="仿宋_GB2312"/>
                <w:b/>
                <w:bCs/>
                <w:color w:val="000000"/>
                <w:kern w:val="2"/>
                <w:sz w:val="32"/>
                <w:szCs w:val="32"/>
                <w:highlight w:val="none"/>
                <w:vertAlign w:val="baseline"/>
                <w:lang w:val="en-US" w:eastAsia="zh-CN"/>
              </w:rPr>
            </w:pPr>
            <w:r>
              <w:rPr>
                <w:rFonts w:hint="eastAsia" w:ascii="仿宋_GB2312" w:hAnsi="仿宋_GB2312" w:eastAsia="仿宋_GB2312" w:cs="仿宋_GB2312"/>
                <w:b/>
                <w:bCs/>
                <w:color w:val="000000"/>
                <w:kern w:val="2"/>
                <w:sz w:val="32"/>
                <w:szCs w:val="32"/>
                <w:highlight w:val="none"/>
                <w:vertAlign w:val="baseline"/>
                <w:lang w:val="en-US" w:eastAsia="zh-CN"/>
              </w:rPr>
              <w:t xml:space="preserve">       品种</w:t>
            </w:r>
          </w:p>
          <w:p w14:paraId="57B770BA">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firstLine="321" w:firstLineChars="100"/>
              <w:jc w:val="both"/>
              <w:textAlignment w:val="auto"/>
              <w:rPr>
                <w:rFonts w:hint="default" w:ascii="仿宋_GB2312" w:hAnsi="仿宋_GB2312" w:eastAsia="仿宋_GB2312" w:cs="仿宋_GB2312"/>
                <w:b/>
                <w:bCs/>
                <w:color w:val="000000"/>
                <w:kern w:val="2"/>
                <w:sz w:val="32"/>
                <w:szCs w:val="32"/>
                <w:highlight w:val="none"/>
                <w:vertAlign w:val="baseline"/>
                <w:lang w:val="en-US" w:eastAsia="zh-CN"/>
              </w:rPr>
            </w:pPr>
            <w:r>
              <w:rPr>
                <w:rFonts w:hint="eastAsia" w:ascii="仿宋_GB2312" w:hAnsi="仿宋_GB2312" w:eastAsia="仿宋_GB2312" w:cs="仿宋_GB2312"/>
                <w:b/>
                <w:bCs/>
                <w:color w:val="000000"/>
                <w:kern w:val="2"/>
                <w:sz w:val="32"/>
                <w:szCs w:val="32"/>
                <w:highlight w:val="none"/>
                <w:vertAlign w:val="baseline"/>
                <w:lang w:val="en-US" w:eastAsia="zh-CN"/>
              </w:rPr>
              <w:t>地市</w:t>
            </w:r>
          </w:p>
        </w:tc>
        <w:tc>
          <w:tcPr>
            <w:tcW w:w="2904" w:type="pct"/>
            <w:vAlign w:val="center"/>
          </w:tcPr>
          <w:p w14:paraId="26C864BD">
            <w:pPr>
              <w:keepNext w:val="0"/>
              <w:keepLines w:val="0"/>
              <w:pageBreakBefore w:val="0"/>
              <w:widowControl w:val="0"/>
              <w:kinsoku/>
              <w:wordWrap/>
              <w:overflowPunct/>
              <w:topLinePunct w:val="0"/>
              <w:autoSpaceDE/>
              <w:autoSpaceDN/>
              <w:bidi w:val="0"/>
              <w:adjustRightInd/>
              <w:snapToGrid/>
              <w:spacing w:before="0" w:after="0" w:line="560" w:lineRule="exact"/>
              <w:ind w:left="0" w:right="-125" w:rightChars="-57"/>
              <w:jc w:val="center"/>
              <w:textAlignment w:val="auto"/>
              <w:rPr>
                <w:rFonts w:hint="default" w:ascii="仿宋_GB2312" w:hAnsi="仿宋_GB2312" w:eastAsia="仿宋_GB2312" w:cs="仿宋_GB2312"/>
                <w:b/>
                <w:bCs/>
                <w:color w:val="000000"/>
                <w:kern w:val="2"/>
                <w:sz w:val="32"/>
                <w:szCs w:val="32"/>
                <w:highlight w:val="none"/>
                <w:vertAlign w:val="baseline"/>
                <w:lang w:val="en-US" w:eastAsia="zh-CN"/>
              </w:rPr>
            </w:pPr>
            <w:r>
              <w:rPr>
                <w:rFonts w:hint="default" w:ascii="仿宋_GB2312" w:hAnsi="仿宋_GB2312" w:eastAsia="仿宋_GB2312" w:cs="仿宋_GB2312"/>
                <w:b/>
                <w:bCs/>
                <w:color w:val="000000"/>
                <w:kern w:val="2"/>
                <w:sz w:val="32"/>
                <w:szCs w:val="32"/>
                <w:highlight w:val="none"/>
                <w:vertAlign w:val="baseline"/>
                <w:lang w:val="en-US" w:eastAsia="zh-CN"/>
              </w:rPr>
              <w:t>一次性使用阴道扩张器</w:t>
            </w:r>
          </w:p>
        </w:tc>
      </w:tr>
      <w:tr w14:paraId="7D02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tcPr>
          <w:p w14:paraId="233E049B">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省本级</w:t>
            </w:r>
          </w:p>
        </w:tc>
        <w:tc>
          <w:tcPr>
            <w:tcW w:w="2904" w:type="pct"/>
          </w:tcPr>
          <w:p w14:paraId="16B8254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06E5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tcPr>
          <w:p w14:paraId="147A8D0C">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福州市</w:t>
            </w:r>
          </w:p>
        </w:tc>
        <w:tc>
          <w:tcPr>
            <w:tcW w:w="2904" w:type="pct"/>
            <w:vAlign w:val="top"/>
          </w:tcPr>
          <w:p w14:paraId="6174AB5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4D77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vAlign w:val="top"/>
          </w:tcPr>
          <w:p w14:paraId="16F33A3C">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厦门市</w:t>
            </w:r>
          </w:p>
        </w:tc>
        <w:tc>
          <w:tcPr>
            <w:tcW w:w="2904" w:type="pct"/>
            <w:vAlign w:val="top"/>
          </w:tcPr>
          <w:p w14:paraId="4A79C20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58A7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vAlign w:val="top"/>
          </w:tcPr>
          <w:p w14:paraId="619525C0">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泉州市</w:t>
            </w:r>
          </w:p>
        </w:tc>
        <w:tc>
          <w:tcPr>
            <w:tcW w:w="2904" w:type="pct"/>
            <w:vAlign w:val="top"/>
          </w:tcPr>
          <w:p w14:paraId="6663D3B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05D2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vAlign w:val="top"/>
          </w:tcPr>
          <w:p w14:paraId="42307D8B">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漳州市</w:t>
            </w:r>
          </w:p>
        </w:tc>
        <w:tc>
          <w:tcPr>
            <w:tcW w:w="2904" w:type="pct"/>
            <w:vAlign w:val="top"/>
          </w:tcPr>
          <w:p w14:paraId="24CABC5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24C5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vAlign w:val="top"/>
          </w:tcPr>
          <w:p w14:paraId="548DBF70">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三明市</w:t>
            </w:r>
          </w:p>
        </w:tc>
        <w:tc>
          <w:tcPr>
            <w:tcW w:w="2904" w:type="pct"/>
            <w:vAlign w:val="top"/>
          </w:tcPr>
          <w:p w14:paraId="1EE6E80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043E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vAlign w:val="top"/>
          </w:tcPr>
          <w:p w14:paraId="4FB5225D">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莆田市</w:t>
            </w:r>
          </w:p>
        </w:tc>
        <w:tc>
          <w:tcPr>
            <w:tcW w:w="2904" w:type="pct"/>
            <w:vAlign w:val="top"/>
          </w:tcPr>
          <w:p w14:paraId="77905B0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7F14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vAlign w:val="top"/>
          </w:tcPr>
          <w:p w14:paraId="697B86EC">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南平市</w:t>
            </w:r>
          </w:p>
        </w:tc>
        <w:tc>
          <w:tcPr>
            <w:tcW w:w="2904" w:type="pct"/>
            <w:vAlign w:val="top"/>
          </w:tcPr>
          <w:p w14:paraId="5F84B02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7CE1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vAlign w:val="top"/>
          </w:tcPr>
          <w:p w14:paraId="33BC1B5C">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龙岩市</w:t>
            </w:r>
          </w:p>
        </w:tc>
        <w:tc>
          <w:tcPr>
            <w:tcW w:w="2904" w:type="pct"/>
            <w:vAlign w:val="top"/>
          </w:tcPr>
          <w:p w14:paraId="7C32782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bidi="ar-SA"/>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0504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2095" w:type="pct"/>
          </w:tcPr>
          <w:p w14:paraId="6E4A9477">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eastAsia"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宁德市</w:t>
            </w:r>
          </w:p>
        </w:tc>
        <w:tc>
          <w:tcPr>
            <w:tcW w:w="2904" w:type="pct"/>
          </w:tcPr>
          <w:p w14:paraId="1ACBD97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是</w:t>
            </w:r>
          </w:p>
        </w:tc>
      </w:tr>
      <w:tr w14:paraId="6579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2095" w:type="pct"/>
          </w:tcPr>
          <w:p w14:paraId="705BD7B3">
            <w:pPr>
              <w:keepNext w:val="0"/>
              <w:keepLines w:val="0"/>
              <w:pageBreakBefore w:val="0"/>
              <w:widowControl w:val="0"/>
              <w:kinsoku/>
              <w:wordWrap/>
              <w:overflowPunct/>
              <w:topLinePunct w:val="0"/>
              <w:autoSpaceDE/>
              <w:autoSpaceDN/>
              <w:bidi w:val="0"/>
              <w:adjustRightInd/>
              <w:snapToGrid/>
              <w:spacing w:before="0" w:after="0" w:line="560" w:lineRule="exact"/>
              <w:ind w:left="0" w:right="-73" w:rightChars="-33"/>
              <w:jc w:val="center"/>
              <w:textAlignment w:val="auto"/>
              <w:rPr>
                <w:rFonts w:hint="eastAsia"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平潭综合</w:t>
            </w:r>
            <w:r>
              <w:rPr>
                <w:rFonts w:hint="eastAsia" w:ascii="仿宋" w:hAnsi="仿宋" w:cs="仿宋"/>
                <w:color w:val="000000"/>
                <w:spacing w:val="0"/>
                <w:kern w:val="2"/>
                <w:sz w:val="32"/>
                <w:szCs w:val="32"/>
                <w:highlight w:val="none"/>
                <w:lang w:val="en-US" w:eastAsia="zh-CN"/>
              </w:rPr>
              <w:t>实验区</w:t>
            </w:r>
          </w:p>
        </w:tc>
        <w:tc>
          <w:tcPr>
            <w:tcW w:w="2904" w:type="pct"/>
          </w:tcPr>
          <w:p w14:paraId="3C15572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default" w:ascii="仿宋_GB2312" w:hAnsi="仿宋_GB2312" w:eastAsia="仿宋_GB2312" w:cs="仿宋_GB2312"/>
                <w:color w:val="000000"/>
                <w:kern w:val="2"/>
                <w:sz w:val="32"/>
                <w:szCs w:val="32"/>
                <w:highlight w:val="none"/>
                <w:vertAlign w:val="baseline"/>
                <w:lang w:val="en-US" w:eastAsia="zh-CN"/>
              </w:rPr>
            </w:pPr>
            <w:r>
              <w:rPr>
                <w:rFonts w:hint="eastAsia" w:ascii="仿宋_GB2312" w:hAnsi="仿宋_GB2312" w:eastAsia="仿宋_GB2312" w:cs="仿宋_GB2312"/>
                <w:color w:val="000000"/>
                <w:kern w:val="2"/>
                <w:sz w:val="32"/>
                <w:szCs w:val="32"/>
                <w:highlight w:val="none"/>
                <w:vertAlign w:val="baseline"/>
                <w:lang w:val="en-US" w:eastAsia="zh-CN"/>
              </w:rPr>
              <w:t>是</w:t>
            </w:r>
          </w:p>
        </w:tc>
      </w:tr>
    </w:tbl>
    <w:p w14:paraId="1E879B65">
      <w:pPr>
        <w:pStyle w:val="21"/>
        <w:ind w:right="508" w:rightChars="231"/>
        <w:rPr>
          <w:rFonts w:hint="eastAsia"/>
          <w:highlight w:val="none"/>
          <w:lang w:val="en-US" w:eastAsia="zh-CN"/>
        </w:rPr>
      </w:pPr>
    </w:p>
    <w:p w14:paraId="25A2602C">
      <w:pPr>
        <w:pStyle w:val="2"/>
        <w:tabs>
          <w:tab w:val="left" w:pos="2200"/>
        </w:tabs>
        <w:spacing w:before="56"/>
        <w:ind w:left="0" w:right="508" w:rightChars="231"/>
        <w:jc w:val="center"/>
        <w:outlineLvl w:val="9"/>
        <w:rPr>
          <w:rFonts w:hint="eastAsia" w:ascii="方正小标宋简体" w:hAnsi="方正小标宋简体" w:eastAsia="方正小标宋简体" w:cs="方正小标宋简体"/>
          <w:highlight w:val="none"/>
        </w:rPr>
        <w:sectPr>
          <w:footerReference r:id="rId9" w:type="default"/>
          <w:pgSz w:w="11910" w:h="16840"/>
          <w:pgMar w:top="1580" w:right="520" w:bottom="1460" w:left="1200" w:header="1145" w:footer="1276" w:gutter="0"/>
          <w:pgBorders>
            <w:top w:val="none" w:sz="0" w:space="0"/>
            <w:left w:val="none" w:sz="0" w:space="0"/>
            <w:bottom w:val="none" w:sz="0" w:space="0"/>
            <w:right w:val="none" w:sz="0" w:space="0"/>
          </w:pgBorders>
          <w:pgNumType w:fmt="decimal"/>
          <w:cols w:space="720" w:num="1"/>
        </w:sectPr>
      </w:pPr>
    </w:p>
    <w:p w14:paraId="023064A6">
      <w:pPr>
        <w:keepNext w:val="0"/>
        <w:keepLines w:val="0"/>
        <w:pageBreakBefore w:val="0"/>
        <w:widowControl w:val="0"/>
        <w:kinsoku/>
        <w:wordWrap/>
        <w:overflowPunct/>
        <w:topLinePunct w:val="0"/>
        <w:autoSpaceDE/>
        <w:autoSpaceDN/>
        <w:bidi w:val="0"/>
        <w:adjustRightInd w:val="0"/>
        <w:snapToGrid w:val="0"/>
        <w:spacing w:before="0" w:after="0" w:line="580" w:lineRule="exact"/>
        <w:ind w:left="0" w:right="0" w:rightChars="0" w:firstLine="0" w:firstLineChars="0"/>
        <w:jc w:val="both"/>
        <w:textAlignment w:val="baseline"/>
        <w:rPr>
          <w:rFonts w:hint="eastAsia" w:ascii="黑体" w:hAnsi="黑体" w:eastAsia="黑体" w:cs="黑体"/>
          <w:snapToGrid w:val="0"/>
          <w:color w:val="auto"/>
          <w:kern w:val="0"/>
          <w:sz w:val="32"/>
          <w:szCs w:val="32"/>
          <w:highlight w:val="none"/>
          <w:lang w:val="en-US" w:eastAsia="zh-CN"/>
        </w:rPr>
      </w:pPr>
      <w:bookmarkStart w:id="194" w:name="授权书"/>
      <w:bookmarkEnd w:id="194"/>
      <w:bookmarkStart w:id="195" w:name="_Toc1669043747"/>
      <w:bookmarkStart w:id="196" w:name="_Toc293000555"/>
      <w:bookmarkStart w:id="197" w:name="_Toc1472653750"/>
      <w:r>
        <w:rPr>
          <w:rFonts w:hint="eastAsia" w:ascii="黑体" w:hAnsi="黑体" w:eastAsia="黑体" w:cs="黑体"/>
          <w:snapToGrid w:val="0"/>
          <w:color w:val="auto"/>
          <w:kern w:val="0"/>
          <w:sz w:val="32"/>
          <w:szCs w:val="32"/>
          <w:highlight w:val="none"/>
          <w:lang w:val="en-US" w:eastAsia="zh-CN"/>
        </w:rPr>
        <w:t>附件2</w:t>
      </w:r>
      <w:bookmarkEnd w:id="195"/>
      <w:bookmarkEnd w:id="196"/>
      <w:bookmarkEnd w:id="197"/>
    </w:p>
    <w:p w14:paraId="0F4E439B">
      <w:pPr>
        <w:pStyle w:val="8"/>
        <w:keepNext w:val="0"/>
        <w:keepLines w:val="0"/>
        <w:pageBreakBefore w:val="0"/>
        <w:widowControl w:val="0"/>
        <w:kinsoku/>
        <w:wordWrap/>
        <w:overflowPunct/>
        <w:topLinePunct w:val="0"/>
        <w:bidi w:val="0"/>
        <w:spacing w:before="0" w:line="580" w:lineRule="exact"/>
        <w:ind w:left="0" w:right="0" w:rightChars="0" w:firstLine="0" w:firstLineChars="0"/>
        <w:jc w:val="center"/>
        <w:rPr>
          <w:rFonts w:hint="eastAsia" w:ascii="黑体" w:hAnsi="黑体" w:eastAsia="黑体" w:cs="黑体"/>
          <w:sz w:val="32"/>
          <w:szCs w:val="32"/>
          <w:highlight w:val="none"/>
        </w:rPr>
      </w:pPr>
    </w:p>
    <w:p w14:paraId="3D5A1D62">
      <w:pPr>
        <w:pStyle w:val="8"/>
        <w:keepNext w:val="0"/>
        <w:keepLines w:val="0"/>
        <w:pageBreakBefore w:val="0"/>
        <w:widowControl w:val="0"/>
        <w:kinsoku/>
        <w:wordWrap/>
        <w:overflowPunct/>
        <w:topLinePunct w:val="0"/>
        <w:bidi w:val="0"/>
        <w:spacing w:before="0" w:line="580" w:lineRule="exact"/>
        <w:ind w:left="0" w:right="0" w:rightChars="0"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授权书</w:t>
      </w:r>
    </w:p>
    <w:p w14:paraId="095D9164">
      <w:pPr>
        <w:pStyle w:val="8"/>
        <w:keepNext w:val="0"/>
        <w:keepLines w:val="0"/>
        <w:pageBreakBefore w:val="0"/>
        <w:widowControl w:val="0"/>
        <w:kinsoku/>
        <w:wordWrap/>
        <w:overflowPunct/>
        <w:topLinePunct w:val="0"/>
        <w:bidi w:val="0"/>
        <w:spacing w:before="0" w:line="580" w:lineRule="exact"/>
        <w:ind w:left="0" w:right="0" w:rightChars="0" w:firstLine="0" w:firstLineChars="0"/>
        <w:jc w:val="center"/>
        <w:rPr>
          <w:rFonts w:hint="eastAsia" w:ascii="方正小标宋简体" w:hAnsi="方正小标宋简体" w:eastAsia="方正小标宋简体" w:cs="方正小标宋简体"/>
          <w:sz w:val="44"/>
          <w:szCs w:val="44"/>
          <w:highlight w:val="none"/>
        </w:rPr>
      </w:pPr>
    </w:p>
    <w:p w14:paraId="4EA83259">
      <w:pPr>
        <w:pStyle w:val="8"/>
        <w:keepNext w:val="0"/>
        <w:keepLines w:val="0"/>
        <w:pageBreakBefore w:val="0"/>
        <w:widowControl w:val="0"/>
        <w:kinsoku/>
        <w:wordWrap/>
        <w:overflowPunct/>
        <w:topLinePunct w:val="0"/>
        <w:autoSpaceDE w:val="0"/>
        <w:autoSpaceDN w:val="0"/>
        <w:bidi w:val="0"/>
        <w:snapToGrid/>
        <w:spacing w:before="0" w:line="580" w:lineRule="exact"/>
        <w:ind w:right="0" w:rightChars="0"/>
        <w:textAlignment w:val="auto"/>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lang w:val="en-US" w:eastAsia="zh-CN" w:bidi="ar-SA"/>
        </w:rPr>
        <w:t>一次性使用阴道扩张器全省性联盟集采领导小组办公室</w:t>
      </w:r>
      <w:r>
        <w:rPr>
          <w:rFonts w:hint="eastAsia" w:ascii="仿宋_GB2312" w:hAnsi="仿宋_GB2312" w:eastAsia="仿宋_GB2312" w:cs="仿宋_GB2312"/>
          <w:spacing w:val="-11"/>
          <w:sz w:val="32"/>
          <w:szCs w:val="32"/>
          <w:highlight w:val="none"/>
        </w:rPr>
        <w:t>：</w:t>
      </w:r>
    </w:p>
    <w:p w14:paraId="708CC469">
      <w:pPr>
        <w:pStyle w:val="8"/>
        <w:keepNext w:val="0"/>
        <w:keepLines w:val="0"/>
        <w:pageBreakBefore w:val="0"/>
        <w:widowControl w:val="0"/>
        <w:kinsoku/>
        <w:wordWrap/>
        <w:overflowPunct/>
        <w:topLinePunct w:val="0"/>
        <w:bidi w:val="0"/>
        <w:adjustRightInd/>
        <w:snapToGrid/>
        <w:spacing w:before="0" w:line="580" w:lineRule="exact"/>
        <w:ind w:left="0" w:right="0" w:rightChars="0" w:firstLine="596" w:firstLineChars="20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11"/>
          <w:sz w:val="32"/>
          <w:highlight w:val="none"/>
        </w:rPr>
        <w:t>本</w:t>
      </w:r>
      <w:r>
        <w:rPr>
          <w:rFonts w:hint="eastAsia" w:ascii="仿宋_GB2312" w:hAnsi="仿宋_GB2312" w:eastAsia="仿宋_GB2312" w:cs="仿宋_GB2312"/>
          <w:spacing w:val="-5"/>
          <w:highlight w:val="none"/>
        </w:rPr>
        <w:t>公司申请参</w:t>
      </w:r>
      <w:r>
        <w:rPr>
          <w:rFonts w:hint="eastAsia" w:ascii="仿宋_GB2312" w:hAnsi="仿宋_GB2312" w:eastAsia="仿宋_GB2312" w:cs="仿宋_GB2312"/>
          <w:spacing w:val="-5"/>
          <w:highlight w:val="none"/>
          <w:lang w:val="en-US" w:eastAsia="zh-CN"/>
        </w:rPr>
        <w:t>与</w:t>
      </w:r>
      <w:r>
        <w:rPr>
          <w:rFonts w:hint="eastAsia" w:ascii="仿宋_GB2312" w:hAnsi="仿宋_GB2312" w:eastAsia="仿宋_GB2312" w:cs="仿宋_GB2312"/>
          <w:spacing w:val="-5"/>
          <w:highlight w:val="none"/>
          <w:u w:val="single"/>
          <w:lang w:val="en-US" w:eastAsia="zh-CN"/>
        </w:rPr>
        <w:t>一次性使用阴道扩张器全省性联盟集中带量</w:t>
      </w:r>
      <w:r>
        <w:rPr>
          <w:rFonts w:hint="eastAsia" w:ascii="仿宋_GB2312" w:hAnsi="仿宋_GB2312" w:eastAsia="仿宋_GB2312" w:cs="仿宋_GB2312"/>
          <w:spacing w:val="-5"/>
          <w:highlight w:val="none"/>
          <w:u w:val="single"/>
        </w:rPr>
        <w:t>采购</w:t>
      </w:r>
      <w:r>
        <w:rPr>
          <w:rFonts w:hint="eastAsia" w:ascii="仿宋_GB2312" w:hAnsi="仿宋_GB2312" w:eastAsia="仿宋_GB2312" w:cs="仿宋_GB2312"/>
          <w:spacing w:val="-5"/>
          <w:highlight w:val="none"/>
        </w:rPr>
        <w:t>工作，遵守医用耗材采购的相关规定，所提交材料的信息真实有效，如有虚假</w:t>
      </w:r>
      <w:r>
        <w:rPr>
          <w:rFonts w:hint="eastAsia" w:ascii="仿宋_GB2312" w:hAnsi="仿宋_GB2312" w:eastAsia="仿宋_GB2312" w:cs="仿宋_GB2312"/>
          <w:spacing w:val="-5"/>
          <w:highlight w:val="none"/>
          <w:lang w:val="en-US" w:eastAsia="zh-CN"/>
        </w:rPr>
        <w:t>，自</w:t>
      </w:r>
      <w:r>
        <w:rPr>
          <w:rFonts w:hint="eastAsia" w:ascii="仿宋_GB2312" w:hAnsi="仿宋_GB2312" w:eastAsia="仿宋_GB2312" w:cs="仿宋_GB2312"/>
          <w:spacing w:val="-5"/>
          <w:highlight w:val="none"/>
        </w:rPr>
        <w:t>愿承担相应的法律责任。</w:t>
      </w:r>
    </w:p>
    <w:p w14:paraId="5FB0C1D8">
      <w:pPr>
        <w:pStyle w:val="8"/>
        <w:keepNext w:val="0"/>
        <w:keepLines w:val="0"/>
        <w:pageBreakBefore w:val="0"/>
        <w:widowControl w:val="0"/>
        <w:kinsoku/>
        <w:wordWrap/>
        <w:overflowPunct/>
        <w:topLinePunct w:val="0"/>
        <w:bidi w:val="0"/>
        <w:adjustRightInd/>
        <w:snapToGrid/>
        <w:spacing w:before="0" w:line="580" w:lineRule="exact"/>
        <w:ind w:left="0" w:right="0" w:rightChars="0" w:firstLine="620" w:firstLineChars="20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本公司委托授权员工</w:t>
      </w:r>
      <w:r>
        <w:rPr>
          <w:rFonts w:hint="eastAsia" w:ascii="仿宋_GB2312" w:hAnsi="仿宋_GB2312" w:eastAsia="仿宋_GB2312" w:cs="仿宋_GB2312"/>
          <w:spacing w:val="-5"/>
          <w:highlight w:val="none"/>
          <w:u w:val="single"/>
          <w:lang w:eastAsia="zh-CN"/>
        </w:rPr>
        <w:t xml:space="preserve"> </w:t>
      </w:r>
      <w:r>
        <w:rPr>
          <w:rFonts w:hint="eastAsia" w:ascii="仿宋_GB2312" w:hAnsi="仿宋_GB2312" w:eastAsia="仿宋_GB2312" w:cs="仿宋_GB2312"/>
          <w:spacing w:val="-5"/>
          <w:highlight w:val="none"/>
          <w:u w:val="single"/>
          <w:lang w:val="en-US" w:eastAsia="zh-CN"/>
        </w:rPr>
        <w:t xml:space="preserve">             </w:t>
      </w:r>
      <w:r>
        <w:rPr>
          <w:rFonts w:hint="eastAsia" w:ascii="仿宋_GB2312" w:hAnsi="仿宋_GB2312" w:eastAsia="仿宋_GB2312" w:cs="仿宋_GB2312"/>
          <w:spacing w:val="-5"/>
          <w:w w:val="100"/>
          <w:highlight w:val="none"/>
        </w:rPr>
        <w:t>（身份证号：</w:t>
      </w:r>
      <w:r>
        <w:rPr>
          <w:rFonts w:hint="eastAsia" w:ascii="仿宋_GB2312" w:hAnsi="仿宋_GB2312" w:eastAsia="仿宋_GB2312" w:cs="仿宋_GB2312"/>
          <w:spacing w:val="-5"/>
          <w:w w:val="100"/>
          <w:highlight w:val="none"/>
          <w:u w:val="single"/>
          <w:lang w:val="en-US" w:eastAsia="zh-CN"/>
        </w:rPr>
        <w:t xml:space="preserve">              </w:t>
      </w:r>
      <w:r>
        <w:rPr>
          <w:rFonts w:hint="eastAsia" w:ascii="仿宋_GB2312" w:hAnsi="仿宋_GB2312" w:eastAsia="仿宋_GB2312" w:cs="仿宋_GB2312"/>
          <w:spacing w:val="-5"/>
          <w:highlight w:val="none"/>
        </w:rPr>
        <w:t>联系电话：</w:t>
      </w:r>
      <w:r>
        <w:rPr>
          <w:rFonts w:hint="eastAsia" w:ascii="仿宋_GB2312" w:hAnsi="仿宋_GB2312" w:eastAsia="仿宋_GB2312" w:cs="仿宋_GB2312"/>
          <w:spacing w:val="-5"/>
          <w:highlight w:val="none"/>
          <w:u w:val="single"/>
          <w:lang w:eastAsia="zh-CN"/>
        </w:rPr>
        <w:t xml:space="preserve"> </w:t>
      </w:r>
      <w:r>
        <w:rPr>
          <w:rFonts w:hint="eastAsia" w:ascii="仿宋_GB2312" w:hAnsi="仿宋_GB2312" w:eastAsia="仿宋_GB2312" w:cs="仿宋_GB2312"/>
          <w:spacing w:val="-5"/>
          <w:highlight w:val="none"/>
          <w:u w:val="single"/>
          <w:lang w:val="en-US" w:eastAsia="zh-CN"/>
        </w:rPr>
        <w:t xml:space="preserve">        </w:t>
      </w:r>
      <w:r>
        <w:rPr>
          <w:rFonts w:hint="eastAsia" w:ascii="仿宋_GB2312" w:hAnsi="仿宋_GB2312" w:eastAsia="仿宋_GB2312" w:cs="仿宋_GB2312"/>
          <w:spacing w:val="-5"/>
          <w:highlight w:val="none"/>
        </w:rPr>
        <w:t>）作为本公司授权代表，以本公司名义全权处理</w:t>
      </w:r>
      <w:r>
        <w:rPr>
          <w:rFonts w:hint="eastAsia" w:ascii="仿宋_GB2312" w:hAnsi="仿宋_GB2312" w:eastAsia="仿宋_GB2312" w:cs="仿宋_GB2312"/>
          <w:spacing w:val="-5"/>
          <w:w w:val="100"/>
          <w:highlight w:val="none"/>
        </w:rPr>
        <w:t>包括企业报名、材料申报、报价、申投诉处理等一切有关事务。本企业</w:t>
      </w:r>
      <w:r>
        <w:rPr>
          <w:rFonts w:hint="eastAsia" w:ascii="仿宋_GB2312" w:hAnsi="仿宋_GB2312" w:eastAsia="仿宋_GB2312" w:cs="仿宋_GB2312"/>
          <w:spacing w:val="-5"/>
          <w:highlight w:val="none"/>
        </w:rPr>
        <w:t>认可，被授权人的签字与本企业公章具有相同的法律效力。</w:t>
      </w:r>
    </w:p>
    <w:p w14:paraId="106A71AB">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sz w:val="32"/>
          <w:highlight w:val="none"/>
        </w:rPr>
      </w:pPr>
    </w:p>
    <w:p w14:paraId="7BC47E27">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sz w:val="32"/>
          <w:highlight w:val="none"/>
        </w:rPr>
      </w:pPr>
    </w:p>
    <w:p w14:paraId="5F867F9D">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法定代表人（签字或盖章）：</w:t>
      </w:r>
    </w:p>
    <w:p w14:paraId="346FB79D">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法定代表人身份证号：</w:t>
      </w:r>
    </w:p>
    <w:p w14:paraId="189A610A">
      <w:pPr>
        <w:pStyle w:val="8"/>
        <w:keepNext w:val="0"/>
        <w:keepLines w:val="0"/>
        <w:pageBreakBefore w:val="0"/>
        <w:widowControl w:val="0"/>
        <w:kinsoku/>
        <w:wordWrap/>
        <w:overflowPunct/>
        <w:topLinePunct w:val="0"/>
        <w:bidi w:val="0"/>
        <w:spacing w:before="0" w:line="580" w:lineRule="exact"/>
        <w:ind w:left="0" w:right="0" w:rightChars="0"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法定代表人联系电话：</w:t>
      </w:r>
    </w:p>
    <w:p w14:paraId="5126814A">
      <w:pPr>
        <w:pStyle w:val="8"/>
        <w:keepNext w:val="0"/>
        <w:keepLines w:val="0"/>
        <w:pageBreakBefore w:val="0"/>
        <w:widowControl w:val="0"/>
        <w:kinsoku/>
        <w:wordWrap/>
        <w:overflowPunct/>
        <w:topLinePunct w:val="0"/>
        <w:bidi w:val="0"/>
        <w:spacing w:before="0" w:after="0" w:line="580" w:lineRule="exact"/>
        <w:ind w:left="0" w:right="0" w:rightChars="0"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申报企业（全称并加盖公章）：</w:t>
      </w:r>
    </w:p>
    <w:p w14:paraId="0CE354A0">
      <w:pPr>
        <w:keepNext w:val="0"/>
        <w:keepLines w:val="0"/>
        <w:pageBreakBefore w:val="0"/>
        <w:widowControl w:val="0"/>
        <w:kinsoku/>
        <w:wordWrap/>
        <w:overflowPunct/>
        <w:topLinePunct w:val="0"/>
        <w:bidi w:val="0"/>
        <w:spacing w:before="0" w:line="580" w:lineRule="exact"/>
        <w:ind w:left="0" w:right="0" w:rightChars="0" w:firstLine="640" w:firstLineChars="20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日     期：</w:t>
      </w:r>
    </w:p>
    <w:p w14:paraId="74EEE704">
      <w:pPr>
        <w:keepNext w:val="0"/>
        <w:keepLines w:val="0"/>
        <w:pageBreakBefore w:val="0"/>
        <w:widowControl w:val="0"/>
        <w:kinsoku/>
        <w:wordWrap/>
        <w:overflowPunct/>
        <w:topLinePunct w:val="0"/>
        <w:bidi w:val="0"/>
        <w:spacing w:before="0" w:line="580" w:lineRule="exact"/>
        <w:ind w:left="0" w:right="0" w:rightChars="0" w:firstLine="640" w:firstLineChars="200"/>
        <w:jc w:val="both"/>
        <w:rPr>
          <w:rFonts w:hint="eastAsia" w:ascii="仿宋_GB2312" w:hAnsi="仿宋_GB2312" w:eastAsia="仿宋_GB2312" w:cs="仿宋_GB2312"/>
          <w:sz w:val="32"/>
          <w:szCs w:val="32"/>
          <w:highlight w:val="none"/>
          <w:lang w:val="en-US" w:eastAsia="zh-CN" w:bidi="ar-SA"/>
        </w:rPr>
      </w:pPr>
    </w:p>
    <w:p w14:paraId="4C458B6B">
      <w:pPr>
        <w:spacing w:before="58"/>
        <w:ind w:left="0" w:right="508" w:rightChars="231" w:firstLine="0"/>
        <w:jc w:val="center"/>
        <w:rPr>
          <w:rFonts w:hint="eastAsia" w:ascii="仿宋_GB2312" w:hAnsi="仿宋_GB2312" w:eastAsia="仿宋_GB2312" w:cs="仿宋_GB2312"/>
          <w:b/>
          <w:sz w:val="30"/>
          <w:highlight w:val="none"/>
          <w:lang w:val="en-US" w:eastAsia="zh-CN"/>
        </w:rPr>
      </w:pPr>
    </w:p>
    <w:p w14:paraId="0958CECC">
      <w:pPr>
        <w:spacing w:before="58"/>
        <w:ind w:left="0" w:right="508" w:rightChars="231" w:firstLine="0"/>
        <w:jc w:val="center"/>
        <w:outlineLvl w:val="9"/>
        <w:rPr>
          <w:rFonts w:hint="eastAsia" w:ascii="仿宋_GB2312" w:hAnsi="仿宋_GB2312" w:eastAsia="仿宋_GB2312" w:cs="仿宋_GB2312"/>
          <w:b/>
          <w:sz w:val="30"/>
          <w:highlight w:val="none"/>
        </w:rPr>
      </w:pPr>
      <w:bookmarkStart w:id="198" w:name="_Toc1878282504"/>
      <w:r>
        <w:rPr>
          <w:rFonts w:hint="eastAsia" w:ascii="仿宋_GB2312" w:hAnsi="仿宋_GB2312" w:eastAsia="仿宋_GB2312" w:cs="仿宋_GB2312"/>
          <w:b/>
          <w:sz w:val="30"/>
          <w:highlight w:val="none"/>
          <w:lang w:val="en-US" w:eastAsia="zh-CN"/>
        </w:rPr>
        <w:t>法定代表人及</w:t>
      </w:r>
      <w:r>
        <w:rPr>
          <w:rFonts w:hint="eastAsia" w:ascii="仿宋_GB2312" w:hAnsi="仿宋_GB2312" w:eastAsia="仿宋_GB2312" w:cs="仿宋_GB2312"/>
          <w:b/>
          <w:sz w:val="30"/>
          <w:highlight w:val="none"/>
        </w:rPr>
        <w:t>代理人（被授权人）居民身份证复印件</w:t>
      </w:r>
      <w:bookmarkEnd w:id="198"/>
    </w:p>
    <w:p w14:paraId="46CE3F8E">
      <w:pPr>
        <w:spacing w:before="178"/>
        <w:ind w:left="0" w:right="508" w:rightChars="231" w:firstLine="0"/>
        <w:jc w:val="center"/>
        <w:rPr>
          <w:rFonts w:hint="eastAsia" w:ascii="仿宋_GB2312" w:hAnsi="仿宋_GB2312" w:eastAsia="仿宋_GB2312" w:cs="仿宋_GB2312"/>
          <w:b/>
          <w:sz w:val="30"/>
          <w:highlight w:val="none"/>
        </w:rPr>
      </w:pPr>
      <w:r>
        <w:rPr>
          <w:color w:val="000000"/>
          <w:highlight w:val="none"/>
        </w:rPr>
        <mc:AlternateContent>
          <mc:Choice Requires="wps">
            <w:drawing>
              <wp:anchor distT="0" distB="0" distL="114300" distR="114300" simplePos="0" relativeHeight="251676672" behindDoc="1" locked="0" layoutInCell="1" allowOverlap="1">
                <wp:simplePos x="0" y="0"/>
                <wp:positionH relativeFrom="page">
                  <wp:posOffset>3845560</wp:posOffset>
                </wp:positionH>
                <wp:positionV relativeFrom="paragraph">
                  <wp:posOffset>4036060</wp:posOffset>
                </wp:positionV>
                <wp:extent cx="2829560" cy="1609090"/>
                <wp:effectExtent l="4445" t="4445" r="23495" b="5715"/>
                <wp:wrapTopAndBottom/>
                <wp:docPr id="20" name="文本框 107"/>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2E649950">
                            <w:pPr>
                              <w:keepNext w:val="0"/>
                              <w:keepLines w:val="0"/>
                              <w:pageBreakBefore w:val="0"/>
                              <w:widowControl/>
                              <w:kinsoku/>
                              <w:wordWrap/>
                              <w:overflowPunct/>
                              <w:topLinePunct w:val="0"/>
                              <w:autoSpaceDE/>
                              <w:autoSpaceDN/>
                              <w:bidi w:val="0"/>
                              <w:adjustRightInd/>
                              <w:snapToGrid/>
                              <w:spacing w:before="137" w:after="0" w:line="560" w:lineRule="exact"/>
                              <w:ind w:left="675" w:right="672" w:firstLine="280"/>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代理人（被授权人）</w:t>
                            </w:r>
                          </w:p>
                          <w:p w14:paraId="32CE8F9B">
                            <w:pPr>
                              <w:keepNext w:val="0"/>
                              <w:keepLines w:val="0"/>
                              <w:pageBreakBefore w:val="0"/>
                              <w:widowControl/>
                              <w:kinsoku/>
                              <w:wordWrap/>
                              <w:overflowPunct/>
                              <w:topLinePunct w:val="0"/>
                              <w:autoSpaceDE/>
                              <w:autoSpaceDN/>
                              <w:bidi w:val="0"/>
                              <w:adjustRightInd/>
                              <w:snapToGrid/>
                              <w:spacing w:before="137" w:after="0" w:line="560" w:lineRule="exact"/>
                              <w:ind w:right="45"/>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pacing w:val="-2"/>
                                <w:sz w:val="28"/>
                                <w:lang w:eastAsia="zh-CN"/>
                              </w:rPr>
                              <w:t>居民身份证反面复印件粘贴处</w:t>
                            </w:r>
                          </w:p>
                          <w:p w14:paraId="4943CAAF">
                            <w:pPr>
                              <w:keepNext w:val="0"/>
                              <w:keepLines w:val="0"/>
                              <w:pageBreakBefore w:val="0"/>
                              <w:widowControl/>
                              <w:kinsoku/>
                              <w:wordWrap/>
                              <w:overflowPunct/>
                              <w:topLinePunct w:val="0"/>
                              <w:autoSpaceDE/>
                              <w:autoSpaceDN/>
                              <w:bidi w:val="0"/>
                              <w:adjustRightInd/>
                              <w:snapToGrid/>
                              <w:spacing w:before="89" w:after="0" w:line="56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pacing w:val="-3"/>
                                <w:sz w:val="28"/>
                              </w:rPr>
                              <w:t>加盖单位公章</w:t>
                            </w:r>
                            <w:r>
                              <w:rPr>
                                <w:rFonts w:hint="eastAsia" w:ascii="仿宋_GB2312" w:hAnsi="仿宋_GB2312" w:eastAsia="仿宋_GB2312" w:cs="仿宋_GB2312"/>
                                <w:sz w:val="28"/>
                              </w:rPr>
                              <w:t>）</w:t>
                            </w:r>
                          </w:p>
                        </w:txbxContent>
                      </wps:txbx>
                      <wps:bodyPr lIns="0" tIns="0" rIns="0" bIns="0" upright="1"/>
                    </wps:wsp>
                  </a:graphicData>
                </a:graphic>
              </wp:anchor>
            </w:drawing>
          </mc:Choice>
          <mc:Fallback>
            <w:pict>
              <v:shape id="文本框 107" o:spid="_x0000_s1026" o:spt="202" type="#_x0000_t202" style="position:absolute;left:0pt;margin-left:302.8pt;margin-top:317.8pt;height:126.7pt;width:222.8pt;mso-position-horizontal-relative:page;mso-wrap-distance-bottom:0pt;mso-wrap-distance-top:0pt;z-index:-251639808;mso-width-relative:page;mso-height-relative:page;" filled="f" stroked="t" coordsize="21600,21600" o:gfxdata="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Y2/6toAAAAMAQAADwAA&#10;AAAAAAABACAAAAAiAAAAZHJzL2Rvd25yZXYueG1sUEsBAhQAFAAAAAgAh07iQMzr7ZgUAgAANQQA&#10;AA4AAAAAAAAAAQAgAAAAKQEAAGRycy9lMm9Eb2MueG1sUEsFBgAAAAAGAAYAWQEAAK8FAAAAAA==&#10;">
                <v:fill on="f" focussize="0,0"/>
                <v:stroke color="#000000" joinstyle="miter"/>
                <v:imagedata o:title=""/>
                <o:lock v:ext="edit" aspectratio="f"/>
                <v:textbox inset="0mm,0mm,0mm,0mm">
                  <w:txbxContent>
                    <w:p w14:paraId="2E649950">
                      <w:pPr>
                        <w:keepNext w:val="0"/>
                        <w:keepLines w:val="0"/>
                        <w:pageBreakBefore w:val="0"/>
                        <w:widowControl/>
                        <w:kinsoku/>
                        <w:wordWrap/>
                        <w:overflowPunct/>
                        <w:topLinePunct w:val="0"/>
                        <w:autoSpaceDE/>
                        <w:autoSpaceDN/>
                        <w:bidi w:val="0"/>
                        <w:adjustRightInd/>
                        <w:snapToGrid/>
                        <w:spacing w:before="137" w:after="0" w:line="560" w:lineRule="exact"/>
                        <w:ind w:left="675" w:right="672" w:firstLine="280"/>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代理人（被授权人）</w:t>
                      </w:r>
                    </w:p>
                    <w:p w14:paraId="32CE8F9B">
                      <w:pPr>
                        <w:keepNext w:val="0"/>
                        <w:keepLines w:val="0"/>
                        <w:pageBreakBefore w:val="0"/>
                        <w:widowControl/>
                        <w:kinsoku/>
                        <w:wordWrap/>
                        <w:overflowPunct/>
                        <w:topLinePunct w:val="0"/>
                        <w:autoSpaceDE/>
                        <w:autoSpaceDN/>
                        <w:bidi w:val="0"/>
                        <w:adjustRightInd/>
                        <w:snapToGrid/>
                        <w:spacing w:before="137" w:after="0" w:line="560" w:lineRule="exact"/>
                        <w:ind w:right="45"/>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pacing w:val="-2"/>
                          <w:sz w:val="28"/>
                          <w:lang w:eastAsia="zh-CN"/>
                        </w:rPr>
                        <w:t>居民身份证反面复印件粘贴处</w:t>
                      </w:r>
                    </w:p>
                    <w:p w14:paraId="4943CAAF">
                      <w:pPr>
                        <w:keepNext w:val="0"/>
                        <w:keepLines w:val="0"/>
                        <w:pageBreakBefore w:val="0"/>
                        <w:widowControl/>
                        <w:kinsoku/>
                        <w:wordWrap/>
                        <w:overflowPunct/>
                        <w:topLinePunct w:val="0"/>
                        <w:autoSpaceDE/>
                        <w:autoSpaceDN/>
                        <w:bidi w:val="0"/>
                        <w:adjustRightInd/>
                        <w:snapToGrid/>
                        <w:spacing w:before="89" w:after="0" w:line="56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pacing w:val="-3"/>
                          <w:sz w:val="28"/>
                        </w:rPr>
                        <w:t>加盖单位公章</w:t>
                      </w:r>
                      <w:r>
                        <w:rPr>
                          <w:rFonts w:hint="eastAsia" w:ascii="仿宋_GB2312" w:hAnsi="仿宋_GB2312" w:eastAsia="仿宋_GB2312" w:cs="仿宋_GB2312"/>
                          <w:sz w:val="28"/>
                        </w:rPr>
                        <w:t>）</w:t>
                      </w:r>
                    </w:p>
                  </w:txbxContent>
                </v:textbox>
                <w10:wrap type="topAndBottom"/>
              </v:shape>
            </w:pict>
          </mc:Fallback>
        </mc:AlternateContent>
      </w:r>
      <w:r>
        <w:rPr>
          <w:rFonts w:hint="eastAsia" w:ascii="仿宋_GB2312" w:hAnsi="仿宋_GB2312" w:eastAsia="仿宋_GB2312" w:cs="仿宋_GB2312"/>
          <w:b/>
          <w:sz w:val="30"/>
          <w:highlight w:val="none"/>
        </w:rPr>
        <w:t>（骑缝处加盖企业公章）</w:t>
      </w:r>
    </w:p>
    <w:p w14:paraId="759D6DAB">
      <w:pPr>
        <w:spacing w:before="54"/>
        <w:ind w:left="0"/>
        <w:rPr>
          <w:rFonts w:hint="eastAsia" w:ascii="仿宋" w:hAnsi="仿宋" w:eastAsia="仿宋" w:cs="仿宋"/>
          <w:sz w:val="22"/>
          <w:szCs w:val="22"/>
          <w:highlight w:val="none"/>
          <w:lang w:val="en-US" w:eastAsia="zh-CN" w:bidi="ar-SA"/>
        </w:rPr>
      </w:pPr>
      <w:r>
        <w:rPr>
          <w:color w:val="000000"/>
          <w:highlight w:val="none"/>
        </w:rPr>
        <mc:AlternateContent>
          <mc:Choice Requires="wps">
            <w:drawing>
              <wp:anchor distT="0" distB="0" distL="114300" distR="114300" simplePos="0" relativeHeight="251675648" behindDoc="1" locked="0" layoutInCell="1" allowOverlap="1">
                <wp:simplePos x="0" y="0"/>
                <wp:positionH relativeFrom="page">
                  <wp:posOffset>862965</wp:posOffset>
                </wp:positionH>
                <wp:positionV relativeFrom="paragraph">
                  <wp:posOffset>3672840</wp:posOffset>
                </wp:positionV>
                <wp:extent cx="2829560" cy="1609090"/>
                <wp:effectExtent l="4445" t="4445" r="23495" b="5715"/>
                <wp:wrapTopAndBottom/>
                <wp:docPr id="6" name="文本框 104"/>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449FEB73">
                            <w:pPr>
                              <w:keepNext w:val="0"/>
                              <w:keepLines w:val="0"/>
                              <w:pageBreakBefore w:val="0"/>
                              <w:widowControl/>
                              <w:kinsoku/>
                              <w:wordWrap/>
                              <w:overflowPunct/>
                              <w:topLinePunct w:val="0"/>
                              <w:autoSpaceDE/>
                              <w:autoSpaceDN/>
                              <w:bidi w:val="0"/>
                              <w:adjustRightInd/>
                              <w:snapToGrid/>
                              <w:spacing w:before="137" w:after="0" w:line="600" w:lineRule="exact"/>
                              <w:ind w:left="661" w:right="659"/>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法定代表人</w:t>
                            </w:r>
                          </w:p>
                          <w:p w14:paraId="17D9F109">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pacing w:val="-2"/>
                                <w:sz w:val="28"/>
                                <w:lang w:eastAsia="zh-CN"/>
                              </w:rPr>
                            </w:pPr>
                            <w:r>
                              <w:rPr>
                                <w:rFonts w:hint="eastAsia" w:ascii="仿宋_GB2312" w:hAnsi="仿宋_GB2312" w:eastAsia="仿宋_GB2312" w:cs="仿宋_GB2312"/>
                                <w:b/>
                                <w:spacing w:val="-2"/>
                                <w:sz w:val="28"/>
                                <w:lang w:eastAsia="zh-CN"/>
                              </w:rPr>
                              <w:t>居民身份证反面复印件粘贴处</w:t>
                            </w:r>
                          </w:p>
                          <w:p w14:paraId="398AD9FA">
                            <w:pPr>
                              <w:keepNext w:val="0"/>
                              <w:keepLines w:val="0"/>
                              <w:pageBreakBefore w:val="0"/>
                              <w:widowControl/>
                              <w:kinsoku/>
                              <w:wordWrap/>
                              <w:overflowPunct/>
                              <w:topLinePunct w:val="0"/>
                              <w:autoSpaceDE/>
                              <w:autoSpaceDN/>
                              <w:bidi w:val="0"/>
                              <w:adjustRightInd/>
                              <w:snapToGrid/>
                              <w:spacing w:before="243" w:after="0" w:line="600" w:lineRule="exact"/>
                              <w:ind w:left="661" w:right="659"/>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w:t>
                            </w:r>
                            <w:r>
                              <w:rPr>
                                <w:rFonts w:hint="eastAsia" w:ascii="仿宋_GB2312" w:hAnsi="仿宋_GB2312" w:eastAsia="仿宋_GB2312" w:cs="仿宋_GB2312"/>
                                <w:spacing w:val="-3"/>
                                <w:sz w:val="28"/>
                                <w:lang w:eastAsia="zh-CN"/>
                              </w:rPr>
                              <w:t>加盖单位公章</w:t>
                            </w:r>
                            <w:r>
                              <w:rPr>
                                <w:rFonts w:hint="eastAsia" w:ascii="仿宋_GB2312" w:hAnsi="仿宋_GB2312" w:eastAsia="仿宋_GB2312" w:cs="仿宋_GB2312"/>
                                <w:sz w:val="28"/>
                                <w:lang w:eastAsia="zh-CN"/>
                              </w:rPr>
                              <w:t>）</w:t>
                            </w:r>
                          </w:p>
                        </w:txbxContent>
                      </wps:txbx>
                      <wps:bodyPr lIns="0" tIns="0" rIns="0" bIns="0" upright="1"/>
                    </wps:wsp>
                  </a:graphicData>
                </a:graphic>
              </wp:anchor>
            </w:drawing>
          </mc:Choice>
          <mc:Fallback>
            <w:pict>
              <v:shape id="文本框 104" o:spid="_x0000_s1026" o:spt="202" type="#_x0000_t202" style="position:absolute;left:0pt;margin-left:67.95pt;margin-top:289.2pt;height:126.7pt;width:222.8pt;mso-position-horizontal-relative:page;mso-wrap-distance-bottom:0pt;mso-wrap-distance-top:0pt;z-index:-251640832;mso-width-relative:page;mso-height-relative:page;" filled="f" stroked="t" coordsize="21600,21600" o:gfxdata="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Dnm8toAAAALAQAADwAA&#10;AAAAAAABACAAAAAiAAAAZHJzL2Rvd25yZXYueG1sUEsBAhQAFAAAAAgAh07iQJ3GKE4UAgAANAQA&#10;AA4AAAAAAAAAAQAgAAAAKQEAAGRycy9lMm9Eb2MueG1sUEsFBgAAAAAGAAYAWQEAAK8FAAAAAA==&#10;">
                <v:fill on="f" focussize="0,0"/>
                <v:stroke color="#000000" joinstyle="miter"/>
                <v:imagedata o:title=""/>
                <o:lock v:ext="edit" aspectratio="f"/>
                <v:textbox inset="0mm,0mm,0mm,0mm">
                  <w:txbxContent>
                    <w:p w14:paraId="449FEB73">
                      <w:pPr>
                        <w:keepNext w:val="0"/>
                        <w:keepLines w:val="0"/>
                        <w:pageBreakBefore w:val="0"/>
                        <w:widowControl/>
                        <w:kinsoku/>
                        <w:wordWrap/>
                        <w:overflowPunct/>
                        <w:topLinePunct w:val="0"/>
                        <w:autoSpaceDE/>
                        <w:autoSpaceDN/>
                        <w:bidi w:val="0"/>
                        <w:adjustRightInd/>
                        <w:snapToGrid/>
                        <w:spacing w:before="137" w:after="0" w:line="600" w:lineRule="exact"/>
                        <w:ind w:left="661" w:right="659"/>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法定代表人</w:t>
                      </w:r>
                    </w:p>
                    <w:p w14:paraId="17D9F109">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pacing w:val="-2"/>
                          <w:sz w:val="28"/>
                          <w:lang w:eastAsia="zh-CN"/>
                        </w:rPr>
                      </w:pPr>
                      <w:r>
                        <w:rPr>
                          <w:rFonts w:hint="eastAsia" w:ascii="仿宋_GB2312" w:hAnsi="仿宋_GB2312" w:eastAsia="仿宋_GB2312" w:cs="仿宋_GB2312"/>
                          <w:b/>
                          <w:spacing w:val="-2"/>
                          <w:sz w:val="28"/>
                          <w:lang w:eastAsia="zh-CN"/>
                        </w:rPr>
                        <w:t>居民身份证反面复印件粘贴处</w:t>
                      </w:r>
                    </w:p>
                    <w:p w14:paraId="398AD9FA">
                      <w:pPr>
                        <w:keepNext w:val="0"/>
                        <w:keepLines w:val="0"/>
                        <w:pageBreakBefore w:val="0"/>
                        <w:widowControl/>
                        <w:kinsoku/>
                        <w:wordWrap/>
                        <w:overflowPunct/>
                        <w:topLinePunct w:val="0"/>
                        <w:autoSpaceDE/>
                        <w:autoSpaceDN/>
                        <w:bidi w:val="0"/>
                        <w:adjustRightInd/>
                        <w:snapToGrid/>
                        <w:spacing w:before="243" w:after="0" w:line="600" w:lineRule="exact"/>
                        <w:ind w:left="661" w:right="659"/>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w:t>
                      </w:r>
                      <w:r>
                        <w:rPr>
                          <w:rFonts w:hint="eastAsia" w:ascii="仿宋_GB2312" w:hAnsi="仿宋_GB2312" w:eastAsia="仿宋_GB2312" w:cs="仿宋_GB2312"/>
                          <w:spacing w:val="-3"/>
                          <w:sz w:val="28"/>
                          <w:lang w:eastAsia="zh-CN"/>
                        </w:rPr>
                        <w:t>加盖单位公章</w:t>
                      </w:r>
                      <w:r>
                        <w:rPr>
                          <w:rFonts w:hint="eastAsia" w:ascii="仿宋_GB2312" w:hAnsi="仿宋_GB2312" w:eastAsia="仿宋_GB2312" w:cs="仿宋_GB2312"/>
                          <w:sz w:val="28"/>
                          <w:lang w:eastAsia="zh-CN"/>
                        </w:rPr>
                        <w:t>）</w:t>
                      </w:r>
                    </w:p>
                  </w:txbxContent>
                </v:textbox>
                <w10:wrap type="topAndBottom"/>
              </v:shape>
            </w:pict>
          </mc:Fallback>
        </mc:AlternateContent>
      </w:r>
      <w:r>
        <w:rPr>
          <w:color w:val="000000"/>
          <w:highlight w:val="none"/>
        </w:rPr>
        <mc:AlternateContent>
          <mc:Choice Requires="wps">
            <w:drawing>
              <wp:anchor distT="0" distB="0" distL="114300" distR="114300" simplePos="0" relativeHeight="251673600" behindDoc="1" locked="0" layoutInCell="1" allowOverlap="1">
                <wp:simplePos x="0" y="0"/>
                <wp:positionH relativeFrom="page">
                  <wp:posOffset>893445</wp:posOffset>
                </wp:positionH>
                <wp:positionV relativeFrom="paragraph">
                  <wp:posOffset>1782445</wp:posOffset>
                </wp:positionV>
                <wp:extent cx="2829560" cy="1609090"/>
                <wp:effectExtent l="4445" t="4445" r="23495" b="5715"/>
                <wp:wrapTopAndBottom/>
                <wp:docPr id="4" name="Text Box 21"/>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6FB46DB4">
                            <w:pPr>
                              <w:keepNext w:val="0"/>
                              <w:keepLines w:val="0"/>
                              <w:pageBreakBefore w:val="0"/>
                              <w:widowControl/>
                              <w:kinsoku/>
                              <w:wordWrap/>
                              <w:overflowPunct/>
                              <w:topLinePunct w:val="0"/>
                              <w:autoSpaceDE/>
                              <w:autoSpaceDN/>
                              <w:bidi w:val="0"/>
                              <w:adjustRightInd/>
                              <w:snapToGrid/>
                              <w:spacing w:before="137" w:after="0" w:line="600" w:lineRule="exact"/>
                              <w:ind w:left="661" w:right="659"/>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法定代表人</w:t>
                            </w:r>
                          </w:p>
                          <w:p w14:paraId="5EE63E4D">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pacing w:val="-2"/>
                                <w:sz w:val="28"/>
                                <w:lang w:eastAsia="zh-CN"/>
                              </w:rPr>
                            </w:pPr>
                            <w:r>
                              <w:rPr>
                                <w:rFonts w:hint="eastAsia" w:ascii="仿宋_GB2312" w:hAnsi="仿宋_GB2312" w:eastAsia="仿宋_GB2312" w:cs="仿宋_GB2312"/>
                                <w:b/>
                                <w:spacing w:val="-2"/>
                                <w:sz w:val="28"/>
                                <w:lang w:eastAsia="zh-CN"/>
                              </w:rPr>
                              <w:t>居民身份证正面复印件粘贴处</w:t>
                            </w:r>
                          </w:p>
                          <w:p w14:paraId="0B87221E">
                            <w:pPr>
                              <w:keepNext w:val="0"/>
                              <w:keepLines w:val="0"/>
                              <w:pageBreakBefore w:val="0"/>
                              <w:widowControl/>
                              <w:kinsoku/>
                              <w:wordWrap/>
                              <w:overflowPunct/>
                              <w:topLinePunct w:val="0"/>
                              <w:autoSpaceDE/>
                              <w:autoSpaceDN/>
                              <w:bidi w:val="0"/>
                              <w:adjustRightInd/>
                              <w:snapToGrid/>
                              <w:spacing w:before="243" w:after="0" w:line="600" w:lineRule="exact"/>
                              <w:ind w:left="661" w:right="659"/>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w:t>
                            </w:r>
                            <w:r>
                              <w:rPr>
                                <w:rFonts w:hint="eastAsia" w:ascii="仿宋_GB2312" w:hAnsi="仿宋_GB2312" w:eastAsia="仿宋_GB2312" w:cs="仿宋_GB2312"/>
                                <w:spacing w:val="-3"/>
                                <w:sz w:val="28"/>
                                <w:lang w:eastAsia="zh-CN"/>
                              </w:rPr>
                              <w:t>加盖单位公章</w:t>
                            </w:r>
                            <w:r>
                              <w:rPr>
                                <w:rFonts w:hint="eastAsia" w:ascii="仿宋_GB2312" w:hAnsi="仿宋_GB2312" w:eastAsia="仿宋_GB2312" w:cs="仿宋_GB2312"/>
                                <w:sz w:val="28"/>
                                <w:lang w:eastAsia="zh-CN"/>
                              </w:rPr>
                              <w:t>）</w:t>
                            </w:r>
                          </w:p>
                        </w:txbxContent>
                      </wps:txbx>
                      <wps:bodyPr lIns="0" tIns="0" rIns="0" bIns="0" upright="1"/>
                    </wps:wsp>
                  </a:graphicData>
                </a:graphic>
              </wp:anchor>
            </w:drawing>
          </mc:Choice>
          <mc:Fallback>
            <w:pict>
              <v:shape id="Text Box 21" o:spid="_x0000_s1026" o:spt="202" type="#_x0000_t202" style="position:absolute;left:0pt;margin-left:70.35pt;margin-top:140.35pt;height:126.7pt;width:222.8pt;mso-position-horizontal-relative:page;mso-wrap-distance-bottom:0pt;mso-wrap-distance-top:0pt;z-index:-251642880;mso-width-relative:page;mso-height-relative:page;" filled="f" stroked="t" coordsize="21600,21600" o:gfxdata="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&#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3oQK2gAAAAsBAAAPAAAAAAAAAAEAIAAAACIAAABk&#10;cnMvZG93bnJldi54bWxQSwECFAAUAAAACACHTuJAVLbf8QQCAAAyBAAADgAAAAAAAAABACAAAAAp&#10;AQAAZHJzL2Uyb0RvYy54bWxQSwUGAAAAAAYABgBZAQAAnwUAAAAA&#10;">
                <v:fill on="f" focussize="0,0"/>
                <v:stroke color="#000000" joinstyle="miter"/>
                <v:imagedata o:title=""/>
                <o:lock v:ext="edit" aspectratio="f"/>
                <v:textbox inset="0mm,0mm,0mm,0mm">
                  <w:txbxContent>
                    <w:p w14:paraId="6FB46DB4">
                      <w:pPr>
                        <w:keepNext w:val="0"/>
                        <w:keepLines w:val="0"/>
                        <w:pageBreakBefore w:val="0"/>
                        <w:widowControl/>
                        <w:kinsoku/>
                        <w:wordWrap/>
                        <w:overflowPunct/>
                        <w:topLinePunct w:val="0"/>
                        <w:autoSpaceDE/>
                        <w:autoSpaceDN/>
                        <w:bidi w:val="0"/>
                        <w:adjustRightInd/>
                        <w:snapToGrid/>
                        <w:spacing w:before="137" w:after="0" w:line="600" w:lineRule="exact"/>
                        <w:ind w:left="661" w:right="659"/>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法定代表人</w:t>
                      </w:r>
                    </w:p>
                    <w:p w14:paraId="5EE63E4D">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pacing w:val="-2"/>
                          <w:sz w:val="28"/>
                          <w:lang w:eastAsia="zh-CN"/>
                        </w:rPr>
                      </w:pPr>
                      <w:r>
                        <w:rPr>
                          <w:rFonts w:hint="eastAsia" w:ascii="仿宋_GB2312" w:hAnsi="仿宋_GB2312" w:eastAsia="仿宋_GB2312" w:cs="仿宋_GB2312"/>
                          <w:b/>
                          <w:spacing w:val="-2"/>
                          <w:sz w:val="28"/>
                          <w:lang w:eastAsia="zh-CN"/>
                        </w:rPr>
                        <w:t>居民身份证正面复印件粘贴处</w:t>
                      </w:r>
                    </w:p>
                    <w:p w14:paraId="0B87221E">
                      <w:pPr>
                        <w:keepNext w:val="0"/>
                        <w:keepLines w:val="0"/>
                        <w:pageBreakBefore w:val="0"/>
                        <w:widowControl/>
                        <w:kinsoku/>
                        <w:wordWrap/>
                        <w:overflowPunct/>
                        <w:topLinePunct w:val="0"/>
                        <w:autoSpaceDE/>
                        <w:autoSpaceDN/>
                        <w:bidi w:val="0"/>
                        <w:adjustRightInd/>
                        <w:snapToGrid/>
                        <w:spacing w:before="243" w:after="0" w:line="600" w:lineRule="exact"/>
                        <w:ind w:left="661" w:right="659"/>
                        <w:jc w:val="center"/>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w:t>
                      </w:r>
                      <w:r>
                        <w:rPr>
                          <w:rFonts w:hint="eastAsia" w:ascii="仿宋_GB2312" w:hAnsi="仿宋_GB2312" w:eastAsia="仿宋_GB2312" w:cs="仿宋_GB2312"/>
                          <w:spacing w:val="-3"/>
                          <w:sz w:val="28"/>
                          <w:lang w:eastAsia="zh-CN"/>
                        </w:rPr>
                        <w:t>加盖单位公章</w:t>
                      </w:r>
                      <w:r>
                        <w:rPr>
                          <w:rFonts w:hint="eastAsia" w:ascii="仿宋_GB2312" w:hAnsi="仿宋_GB2312" w:eastAsia="仿宋_GB2312" w:cs="仿宋_GB2312"/>
                          <w:sz w:val="28"/>
                          <w:lang w:eastAsia="zh-CN"/>
                        </w:rPr>
                        <w:t>）</w:t>
                      </w:r>
                    </w:p>
                  </w:txbxContent>
                </v:textbox>
                <w10:wrap type="topAndBottom"/>
              </v:shape>
            </w:pict>
          </mc:Fallback>
        </mc:AlternateContent>
      </w:r>
      <w:r>
        <w:rPr>
          <w:color w:val="000000"/>
          <w:highlight w:val="none"/>
        </w:rPr>
        <mc:AlternateContent>
          <mc:Choice Requires="wps">
            <w:drawing>
              <wp:anchor distT="0" distB="0" distL="114300" distR="114300" simplePos="0" relativeHeight="251674624" behindDoc="1" locked="0" layoutInCell="1" allowOverlap="1">
                <wp:simplePos x="0" y="0"/>
                <wp:positionH relativeFrom="page">
                  <wp:posOffset>3843655</wp:posOffset>
                </wp:positionH>
                <wp:positionV relativeFrom="paragraph">
                  <wp:posOffset>1782445</wp:posOffset>
                </wp:positionV>
                <wp:extent cx="2829560" cy="1609090"/>
                <wp:effectExtent l="4445" t="4445" r="23495" b="5715"/>
                <wp:wrapTopAndBottom/>
                <wp:docPr id="5" name="Text Box 22"/>
                <wp:cNvGraphicFramePr/>
                <a:graphic xmlns:a="http://schemas.openxmlformats.org/drawingml/2006/main">
                  <a:graphicData uri="http://schemas.microsoft.com/office/word/2010/wordprocessingShape">
                    <wps:wsp>
                      <wps:cNvSpPr txBox="1"/>
                      <wps:spPr>
                        <a:xfrm>
                          <a:off x="0" y="0"/>
                          <a:ext cx="2829560" cy="1609090"/>
                        </a:xfrm>
                        <a:prstGeom prst="rect">
                          <a:avLst/>
                        </a:prstGeom>
                        <a:noFill/>
                        <a:ln w="9525" cap="flat" cmpd="sng">
                          <a:solidFill>
                            <a:srgbClr val="000000"/>
                          </a:solidFill>
                          <a:prstDash val="solid"/>
                          <a:miter/>
                          <a:headEnd type="none" w="med" len="med"/>
                          <a:tailEnd type="none" w="med" len="med"/>
                        </a:ln>
                      </wps:spPr>
                      <wps:txbx>
                        <w:txbxContent>
                          <w:p w14:paraId="2661BE96">
                            <w:pPr>
                              <w:keepNext w:val="0"/>
                              <w:keepLines w:val="0"/>
                              <w:pageBreakBefore w:val="0"/>
                              <w:widowControl/>
                              <w:kinsoku/>
                              <w:wordWrap/>
                              <w:overflowPunct/>
                              <w:topLinePunct w:val="0"/>
                              <w:autoSpaceDE/>
                              <w:autoSpaceDN/>
                              <w:bidi w:val="0"/>
                              <w:adjustRightInd/>
                              <w:snapToGrid/>
                              <w:spacing w:before="137" w:after="0" w:line="600" w:lineRule="exact"/>
                              <w:ind w:left="675" w:right="672" w:firstLine="280"/>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代理人（被授权人）</w:t>
                            </w:r>
                          </w:p>
                          <w:p w14:paraId="70AB2DFA">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pacing w:val="-2"/>
                                <w:sz w:val="28"/>
                                <w:lang w:eastAsia="zh-CN"/>
                              </w:rPr>
                              <w:t>居民身份证正面复印件粘贴处</w:t>
                            </w:r>
                          </w:p>
                          <w:p w14:paraId="448F1F7D">
                            <w:pPr>
                              <w:keepNext w:val="0"/>
                              <w:keepLines w:val="0"/>
                              <w:pageBreakBefore w:val="0"/>
                              <w:widowControl/>
                              <w:kinsoku/>
                              <w:wordWrap/>
                              <w:overflowPunct/>
                              <w:topLinePunct w:val="0"/>
                              <w:autoSpaceDE/>
                              <w:autoSpaceDN/>
                              <w:bidi w:val="0"/>
                              <w:adjustRightInd/>
                              <w:snapToGrid/>
                              <w:spacing w:before="89" w:after="0" w:line="60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pacing w:val="-3"/>
                                <w:sz w:val="28"/>
                              </w:rPr>
                              <w:t>加盖单位公章</w:t>
                            </w:r>
                            <w:r>
                              <w:rPr>
                                <w:rFonts w:hint="eastAsia" w:ascii="仿宋_GB2312" w:hAnsi="仿宋_GB2312" w:eastAsia="仿宋_GB2312" w:cs="仿宋_GB2312"/>
                                <w:sz w:val="28"/>
                              </w:rPr>
                              <w:t>）</w:t>
                            </w:r>
                          </w:p>
                        </w:txbxContent>
                      </wps:txbx>
                      <wps:bodyPr lIns="0" tIns="0" rIns="0" bIns="0" upright="1"/>
                    </wps:wsp>
                  </a:graphicData>
                </a:graphic>
              </wp:anchor>
            </w:drawing>
          </mc:Choice>
          <mc:Fallback>
            <w:pict>
              <v:shape id="Text Box 22" o:spid="_x0000_s1026" o:spt="202" type="#_x0000_t202" style="position:absolute;left:0pt;margin-left:302.65pt;margin-top:140.35pt;height:126.7pt;width:222.8pt;mso-position-horizontal-relative:page;mso-wrap-distance-bottom:0pt;mso-wrap-distance-top:0pt;z-index:-251641856;mso-width-relative:page;mso-height-relative:page;" filled="f" stroked="t" coordsize="21600,21600" o:gfxdata="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eaXONwAAAAMAQAADwAAAAAAAAABACAAAAAiAAAA&#10;ZHJzL2Rvd25yZXYueG1sUEsBAhQAFAAAAAgAh07iQNqE9DMDAgAAMgQAAA4AAAAAAAAAAQAgAAAA&#10;KwEAAGRycy9lMm9Eb2MueG1sUEsFBgAAAAAGAAYAWQEAAKAFAAAAAA==&#10;">
                <v:fill on="f" focussize="0,0"/>
                <v:stroke color="#000000" joinstyle="miter"/>
                <v:imagedata o:title=""/>
                <o:lock v:ext="edit" aspectratio="f"/>
                <v:textbox inset="0mm,0mm,0mm,0mm">
                  <w:txbxContent>
                    <w:p w14:paraId="2661BE96">
                      <w:pPr>
                        <w:keepNext w:val="0"/>
                        <w:keepLines w:val="0"/>
                        <w:pageBreakBefore w:val="0"/>
                        <w:widowControl/>
                        <w:kinsoku/>
                        <w:wordWrap/>
                        <w:overflowPunct/>
                        <w:topLinePunct w:val="0"/>
                        <w:autoSpaceDE/>
                        <w:autoSpaceDN/>
                        <w:bidi w:val="0"/>
                        <w:adjustRightInd/>
                        <w:snapToGrid/>
                        <w:spacing w:before="137" w:after="0" w:line="600" w:lineRule="exact"/>
                        <w:ind w:left="675" w:right="672" w:firstLine="280"/>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代理人（被授权人）</w:t>
                      </w:r>
                    </w:p>
                    <w:p w14:paraId="70AB2DFA">
                      <w:pPr>
                        <w:keepNext w:val="0"/>
                        <w:keepLines w:val="0"/>
                        <w:pageBreakBefore w:val="0"/>
                        <w:widowControl/>
                        <w:kinsoku/>
                        <w:wordWrap/>
                        <w:overflowPunct/>
                        <w:topLinePunct w:val="0"/>
                        <w:autoSpaceDE/>
                        <w:autoSpaceDN/>
                        <w:bidi w:val="0"/>
                        <w:adjustRightInd/>
                        <w:snapToGrid/>
                        <w:spacing w:before="137" w:after="0" w:line="600" w:lineRule="exact"/>
                        <w:ind w:right="45"/>
                        <w:jc w:val="center"/>
                        <w:textAlignment w:val="auto"/>
                        <w:rPr>
                          <w:rFonts w:hint="eastAsia" w:ascii="仿宋_GB2312" w:hAnsi="仿宋_GB2312" w:eastAsia="仿宋_GB2312" w:cs="仿宋_GB2312"/>
                          <w:b/>
                          <w:sz w:val="28"/>
                          <w:lang w:eastAsia="zh-CN"/>
                        </w:rPr>
                      </w:pPr>
                      <w:r>
                        <w:rPr>
                          <w:rFonts w:hint="eastAsia" w:ascii="仿宋_GB2312" w:hAnsi="仿宋_GB2312" w:eastAsia="仿宋_GB2312" w:cs="仿宋_GB2312"/>
                          <w:b/>
                          <w:spacing w:val="-2"/>
                          <w:sz w:val="28"/>
                          <w:lang w:eastAsia="zh-CN"/>
                        </w:rPr>
                        <w:t>居民身份证正面复印件粘贴处</w:t>
                      </w:r>
                    </w:p>
                    <w:p w14:paraId="448F1F7D">
                      <w:pPr>
                        <w:keepNext w:val="0"/>
                        <w:keepLines w:val="0"/>
                        <w:pageBreakBefore w:val="0"/>
                        <w:widowControl/>
                        <w:kinsoku/>
                        <w:wordWrap/>
                        <w:overflowPunct/>
                        <w:topLinePunct w:val="0"/>
                        <w:autoSpaceDE/>
                        <w:autoSpaceDN/>
                        <w:bidi w:val="0"/>
                        <w:adjustRightInd/>
                        <w:snapToGrid/>
                        <w:spacing w:before="89" w:after="0" w:line="600" w:lineRule="exact"/>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pacing w:val="-3"/>
                          <w:sz w:val="28"/>
                        </w:rPr>
                        <w:t>加盖单位公章</w:t>
                      </w:r>
                      <w:r>
                        <w:rPr>
                          <w:rFonts w:hint="eastAsia" w:ascii="仿宋_GB2312" w:hAnsi="仿宋_GB2312" w:eastAsia="仿宋_GB2312" w:cs="仿宋_GB2312"/>
                          <w:sz w:val="28"/>
                        </w:rPr>
                        <w:t>）</w:t>
                      </w:r>
                    </w:p>
                  </w:txbxContent>
                </v:textbox>
                <w10:wrap type="topAndBottom"/>
              </v:shape>
            </w:pict>
          </mc:Fallback>
        </mc:AlternateContent>
      </w:r>
      <w:bookmarkStart w:id="199" w:name="附件2"/>
      <w:bookmarkEnd w:id="199"/>
      <w:r>
        <w:rPr>
          <w:rFonts w:hint="eastAsia" w:ascii="黑体" w:eastAsia="黑体"/>
          <w:highlight w:val="none"/>
        </w:rPr>
        <w:br w:type="page"/>
      </w:r>
    </w:p>
    <w:p w14:paraId="591EBB3A">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rightChars="0"/>
        <w:jc w:val="both"/>
        <w:textAlignment w:val="baseline"/>
        <w:rPr>
          <w:rFonts w:hint="eastAsia" w:ascii="黑体" w:hAnsi="黑体" w:eastAsia="黑体" w:cs="黑体"/>
          <w:snapToGrid w:val="0"/>
          <w:color w:val="auto"/>
          <w:kern w:val="0"/>
          <w:sz w:val="32"/>
          <w:szCs w:val="32"/>
          <w:highlight w:val="none"/>
          <w:lang w:val="en-US" w:eastAsia="zh-CN"/>
        </w:rPr>
      </w:pPr>
      <w:bookmarkStart w:id="200" w:name="福建省第五批医用耗材集中带量采购申报函"/>
      <w:bookmarkEnd w:id="200"/>
      <w:bookmarkStart w:id="201" w:name="_Toc379500580"/>
      <w:bookmarkStart w:id="202" w:name="_Toc1064606618"/>
      <w:bookmarkStart w:id="203" w:name="_Toc1310007708"/>
      <w:r>
        <w:rPr>
          <w:rFonts w:hint="eastAsia" w:ascii="黑体" w:hAnsi="黑体" w:eastAsia="黑体" w:cs="黑体"/>
          <w:snapToGrid w:val="0"/>
          <w:color w:val="auto"/>
          <w:kern w:val="0"/>
          <w:sz w:val="32"/>
          <w:szCs w:val="32"/>
          <w:highlight w:val="none"/>
          <w:lang w:val="en-US" w:eastAsia="zh-CN"/>
        </w:rPr>
        <w:t>附件3</w:t>
      </w:r>
      <w:bookmarkEnd w:id="201"/>
      <w:bookmarkEnd w:id="202"/>
      <w:bookmarkEnd w:id="203"/>
    </w:p>
    <w:p w14:paraId="0CDE0AD1">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rightChars="0"/>
        <w:jc w:val="both"/>
        <w:textAlignment w:val="baseline"/>
        <w:rPr>
          <w:rFonts w:hint="eastAsia" w:ascii="Times New Roman" w:hAnsi="Arial" w:eastAsia="仿宋_GB2312" w:cs="Arial"/>
          <w:snapToGrid w:val="0"/>
          <w:color w:val="auto"/>
          <w:kern w:val="0"/>
          <w:sz w:val="32"/>
          <w:szCs w:val="32"/>
          <w:highlight w:val="none"/>
          <w:lang w:val="en-US" w:eastAsia="zh-CN"/>
        </w:rPr>
      </w:pPr>
    </w:p>
    <w:p w14:paraId="3FB94813">
      <w:pPr>
        <w:pStyle w:val="8"/>
        <w:keepNext w:val="0"/>
        <w:keepLines w:val="0"/>
        <w:pageBreakBefore w:val="0"/>
        <w:kinsoku/>
        <w:wordWrap/>
        <w:overflowPunct/>
        <w:topLinePunct w:val="0"/>
        <w:bidi w:val="0"/>
        <w:spacing w:before="0" w:line="560" w:lineRule="exact"/>
        <w:ind w:left="0" w:right="0" w:rightChars="0"/>
        <w:jc w:val="center"/>
        <w:rPr>
          <w:rFonts w:hint="eastAsia" w:ascii="方正小标宋简体" w:hAnsi="方正小标宋简体" w:eastAsia="方正小标宋简体" w:cs="方正小标宋简体"/>
          <w:b w:val="0"/>
          <w:bCs w:val="0"/>
          <w:highlight w:val="none"/>
        </w:rPr>
      </w:pPr>
      <w:r>
        <w:rPr>
          <w:rFonts w:hint="eastAsia" w:ascii="方正小标宋简体" w:hAnsi="方正小标宋简体" w:eastAsia="方正小标宋简体" w:cs="方正小标宋简体"/>
          <w:b w:val="0"/>
          <w:bCs w:val="0"/>
          <w:sz w:val="32"/>
          <w:szCs w:val="32"/>
          <w:highlight w:val="none"/>
          <w:lang w:val="en-US" w:eastAsia="zh-CN"/>
        </w:rPr>
        <w:t>一次性使用阴道扩张器</w:t>
      </w:r>
      <w:r>
        <w:rPr>
          <w:rFonts w:hint="eastAsia" w:ascii="方正小标宋简体" w:hAnsi="方正小标宋简体" w:eastAsia="方正小标宋简体" w:cs="方正小标宋简体"/>
          <w:b w:val="0"/>
          <w:bCs w:val="0"/>
          <w:highlight w:val="none"/>
          <w:lang w:val="en-US" w:eastAsia="zh-CN"/>
        </w:rPr>
        <w:t>全省性联盟集中带量</w:t>
      </w:r>
      <w:r>
        <w:rPr>
          <w:rFonts w:hint="eastAsia" w:ascii="方正小标宋简体" w:hAnsi="方正小标宋简体" w:eastAsia="方正小标宋简体" w:cs="方正小标宋简体"/>
          <w:b w:val="0"/>
          <w:bCs w:val="0"/>
          <w:highlight w:val="none"/>
        </w:rPr>
        <w:t>采购</w:t>
      </w:r>
    </w:p>
    <w:p w14:paraId="27D891BB">
      <w:pPr>
        <w:pStyle w:val="8"/>
        <w:keepNext w:val="0"/>
        <w:keepLines w:val="0"/>
        <w:pageBreakBefore w:val="0"/>
        <w:kinsoku/>
        <w:wordWrap/>
        <w:overflowPunct/>
        <w:topLinePunct w:val="0"/>
        <w:bidi w:val="0"/>
        <w:spacing w:before="0" w:line="560" w:lineRule="exact"/>
        <w:ind w:left="0" w:right="0" w:rightChars="0"/>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highlight w:val="none"/>
        </w:rPr>
        <w:t>申报函</w:t>
      </w:r>
    </w:p>
    <w:p w14:paraId="68079BE6">
      <w:pPr>
        <w:pStyle w:val="8"/>
        <w:keepNext w:val="0"/>
        <w:keepLines w:val="0"/>
        <w:pageBreakBefore w:val="0"/>
        <w:kinsoku/>
        <w:wordWrap/>
        <w:overflowPunct/>
        <w:topLinePunct w:val="0"/>
        <w:bidi w:val="0"/>
        <w:spacing w:before="0" w:line="560" w:lineRule="exact"/>
        <w:ind w:left="0" w:right="0" w:rightChars="0"/>
        <w:jc w:val="center"/>
        <w:rPr>
          <w:rFonts w:hint="eastAsia" w:ascii="黑体" w:hAnsi="黑体" w:eastAsia="黑体" w:cs="黑体"/>
          <w:b w:val="0"/>
          <w:bCs w:val="0"/>
          <w:sz w:val="32"/>
          <w:szCs w:val="32"/>
          <w:highlight w:val="none"/>
        </w:rPr>
      </w:pPr>
    </w:p>
    <w:p w14:paraId="2C0F4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_GB2312" w:hAnsi="仿宋_GB2312" w:eastAsia="仿宋_GB2312" w:cs="仿宋_GB2312"/>
          <w:b w:val="0"/>
          <w:bCs w:val="0"/>
          <w:i w:val="0"/>
          <w:caps w:val="0"/>
          <w:color w:val="333333"/>
          <w:spacing w:val="-11"/>
          <w:kern w:val="0"/>
          <w:sz w:val="32"/>
          <w:szCs w:val="32"/>
          <w:highlight w:val="none"/>
          <w:shd w:val="clear" w:color="auto" w:fill="FFFFFF"/>
          <w:lang w:val="en-US" w:eastAsia="zh-CN" w:bidi="ar"/>
        </w:rPr>
      </w:pPr>
      <w:r>
        <w:rPr>
          <w:rFonts w:hint="eastAsia" w:ascii="仿宋_GB2312" w:hAnsi="仿宋_GB2312" w:eastAsia="仿宋_GB2312" w:cs="仿宋_GB2312"/>
          <w:spacing w:val="-11"/>
          <w:sz w:val="32"/>
          <w:szCs w:val="32"/>
          <w:highlight w:val="none"/>
          <w:lang w:val="en-US" w:eastAsia="zh-CN" w:bidi="ar-SA"/>
        </w:rPr>
        <w:t>一次性使用阴道扩张器全省性联盟集采领导小组办公室</w:t>
      </w:r>
      <w:r>
        <w:rPr>
          <w:rFonts w:hint="eastAsia" w:ascii="仿宋_GB2312" w:hAnsi="仿宋_GB2312" w:eastAsia="仿宋_GB2312" w:cs="仿宋_GB2312"/>
          <w:b w:val="0"/>
          <w:bCs w:val="0"/>
          <w:i w:val="0"/>
          <w:caps w:val="0"/>
          <w:color w:val="333333"/>
          <w:spacing w:val="-11"/>
          <w:kern w:val="0"/>
          <w:sz w:val="32"/>
          <w:szCs w:val="32"/>
          <w:highlight w:val="none"/>
          <w:shd w:val="clear" w:color="auto" w:fill="FFFFFF"/>
          <w:lang w:val="en-US" w:eastAsia="zh-CN" w:bidi="ar"/>
        </w:rPr>
        <w:t>：</w:t>
      </w:r>
    </w:p>
    <w:p w14:paraId="0C9BAD77">
      <w:pPr>
        <w:pStyle w:val="8"/>
        <w:keepNext w:val="0"/>
        <w:keepLines w:val="0"/>
        <w:pageBreakBefore w:val="0"/>
        <w:kinsoku/>
        <w:wordWrap/>
        <w:overflowPunct/>
        <w:topLinePunct w:val="0"/>
        <w:bidi w:val="0"/>
        <w:adjustRightInd/>
        <w:snapToGrid/>
        <w:spacing w:before="0" w:line="560" w:lineRule="exact"/>
        <w:ind w:left="0" w:right="0" w:rightChars="0" w:firstLine="64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在审阅所有集中带量采购文件后，我方决定按照采购文件的规定参与</w:t>
      </w:r>
      <w:r>
        <w:rPr>
          <w:rFonts w:hint="eastAsia" w:ascii="仿宋_GB2312" w:hAnsi="仿宋_GB2312" w:eastAsia="仿宋_GB2312" w:cs="仿宋_GB2312"/>
          <w:spacing w:val="-5"/>
          <w:highlight w:val="none"/>
          <w:lang w:eastAsia="zh-CN"/>
        </w:rPr>
        <w:t>一次性使用阴道扩张器</w:t>
      </w:r>
      <w:r>
        <w:rPr>
          <w:rFonts w:hint="eastAsia" w:ascii="仿宋_GB2312" w:hAnsi="仿宋_GB2312" w:eastAsia="仿宋_GB2312" w:cs="仿宋_GB2312"/>
          <w:spacing w:val="-5"/>
          <w:highlight w:val="none"/>
        </w:rPr>
        <w:t>全省性联盟集中带量采购工作。我方保证申报价格及所提供全部证明材料的真实性、合法性、有效性。我方完全理解并遵守采购文件中的中选产品确认准则。</w:t>
      </w:r>
    </w:p>
    <w:p w14:paraId="5794FB6D">
      <w:pPr>
        <w:pStyle w:val="8"/>
        <w:keepNext w:val="0"/>
        <w:keepLines w:val="0"/>
        <w:pageBreakBefore w:val="0"/>
        <w:kinsoku/>
        <w:wordWrap/>
        <w:overflowPunct/>
        <w:topLinePunct w:val="0"/>
        <w:bidi w:val="0"/>
        <w:adjustRightInd/>
        <w:snapToGrid/>
        <w:spacing w:before="0" w:line="560" w:lineRule="exact"/>
        <w:ind w:left="0" w:right="0" w:rightChars="0" w:firstLine="64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我方已充分考虑到原材料价格等因素，并以此申报价格。如果我方医用耗材中选，我方将按照采购方的要求供应中选医用耗材，确保中选医用耗材的价格、质量和数量等一切要素按照购销合同履行。</w:t>
      </w:r>
    </w:p>
    <w:p w14:paraId="4F5E5950">
      <w:pPr>
        <w:pStyle w:val="8"/>
        <w:keepNext w:val="0"/>
        <w:keepLines w:val="0"/>
        <w:pageBreakBefore w:val="0"/>
        <w:kinsoku/>
        <w:wordWrap/>
        <w:overflowPunct/>
        <w:topLinePunct w:val="0"/>
        <w:bidi w:val="0"/>
        <w:adjustRightInd/>
        <w:snapToGrid/>
        <w:spacing w:before="0" w:line="560" w:lineRule="exact"/>
        <w:ind w:left="0" w:right="0" w:rightChars="0" w:firstLine="64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我方承诺同采购机构没有利益关系，不会为达成此项目同采购方进行任何不正当联系，不会在申报过程中有任何违法违规行为。</w:t>
      </w:r>
    </w:p>
    <w:p w14:paraId="4A3CDA59">
      <w:pPr>
        <w:pStyle w:val="8"/>
        <w:keepNext w:val="0"/>
        <w:keepLines w:val="0"/>
        <w:pageBreakBefore w:val="0"/>
        <w:kinsoku/>
        <w:wordWrap/>
        <w:overflowPunct/>
        <w:topLinePunct w:val="0"/>
        <w:bidi w:val="0"/>
        <w:spacing w:before="0" w:line="560" w:lineRule="exact"/>
        <w:ind w:left="0" w:right="0" w:rightChars="0"/>
        <w:jc w:val="both"/>
        <w:rPr>
          <w:rFonts w:hint="eastAsia" w:ascii="仿宋_GB2312" w:hAnsi="仿宋_GB2312" w:eastAsia="仿宋_GB2312" w:cs="仿宋_GB2312"/>
          <w:highlight w:val="none"/>
        </w:rPr>
      </w:pPr>
    </w:p>
    <w:p w14:paraId="4A393C41">
      <w:pPr>
        <w:pStyle w:val="8"/>
        <w:keepNext w:val="0"/>
        <w:keepLines w:val="0"/>
        <w:pageBreakBefore w:val="0"/>
        <w:kinsoku/>
        <w:wordWrap/>
        <w:overflowPunct/>
        <w:topLinePunct w:val="0"/>
        <w:bidi w:val="0"/>
        <w:spacing w:before="0" w:line="560" w:lineRule="exact"/>
        <w:ind w:left="0" w:right="0" w:rightChars="0"/>
        <w:jc w:val="both"/>
        <w:rPr>
          <w:rFonts w:hint="eastAsia" w:ascii="仿宋_GB2312" w:hAnsi="仿宋_GB2312" w:eastAsia="仿宋_GB2312" w:cs="仿宋_GB2312"/>
          <w:highlight w:val="none"/>
        </w:rPr>
      </w:pPr>
    </w:p>
    <w:p w14:paraId="1A90FC07">
      <w:pPr>
        <w:pStyle w:val="8"/>
        <w:keepNext w:val="0"/>
        <w:keepLines w:val="0"/>
        <w:pageBreakBefore w:val="0"/>
        <w:kinsoku/>
        <w:wordWrap/>
        <w:overflowPunct/>
        <w:topLinePunct w:val="0"/>
        <w:bidi w:val="0"/>
        <w:spacing w:before="0" w:line="560" w:lineRule="exact"/>
        <w:ind w:left="0" w:right="0" w:rightChars="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申报企业（盖章）：</w:t>
      </w:r>
    </w:p>
    <w:p w14:paraId="06494719">
      <w:pPr>
        <w:pStyle w:val="8"/>
        <w:keepNext w:val="0"/>
        <w:keepLines w:val="0"/>
        <w:pageBreakBefore w:val="0"/>
        <w:kinsoku/>
        <w:wordWrap/>
        <w:overflowPunct/>
        <w:topLinePunct w:val="0"/>
        <w:bidi w:val="0"/>
        <w:spacing w:before="0" w:line="560" w:lineRule="exact"/>
        <w:ind w:left="0" w:right="0" w:rightChars="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r>
        <w:rPr>
          <w:rFonts w:hint="default" w:ascii="仿宋_GB2312" w:hAnsi="仿宋_GB2312" w:eastAsia="仿宋_GB2312" w:cs="仿宋_GB2312"/>
          <w:highlight w:val="none"/>
          <w:lang w:val="en-US"/>
        </w:rPr>
        <w:t xml:space="preserve">   </w:t>
      </w:r>
      <w:r>
        <w:rPr>
          <w:rFonts w:hint="eastAsia" w:ascii="仿宋_GB2312" w:hAnsi="仿宋_GB2312" w:eastAsia="仿宋_GB2312" w:cs="仿宋_GB2312"/>
          <w:highlight w:val="none"/>
        </w:rPr>
        <w:t>日期：</w:t>
      </w:r>
    </w:p>
    <w:p w14:paraId="360F89CC">
      <w:pPr>
        <w:spacing w:before="0"/>
        <w:ind w:left="0" w:right="0" w:firstLine="0"/>
        <w:jc w:val="left"/>
        <w:rPr>
          <w:rFonts w:hint="eastAsia" w:ascii="黑体" w:eastAsia="黑体"/>
          <w:sz w:val="30"/>
          <w:highlight w:val="none"/>
        </w:rPr>
      </w:pPr>
      <w:bookmarkStart w:id="204" w:name="附件3"/>
      <w:bookmarkEnd w:id="204"/>
      <w:r>
        <w:rPr>
          <w:rFonts w:hint="eastAsia" w:ascii="黑体" w:eastAsia="黑体"/>
          <w:sz w:val="30"/>
          <w:highlight w:val="none"/>
        </w:rPr>
        <w:br w:type="page"/>
      </w:r>
    </w:p>
    <w:p w14:paraId="13044D9F">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jc w:val="both"/>
        <w:textAlignment w:val="baseline"/>
        <w:rPr>
          <w:rFonts w:hint="eastAsia" w:ascii="黑体" w:hAnsi="黑体" w:eastAsia="黑体" w:cs="黑体"/>
          <w:snapToGrid w:val="0"/>
          <w:color w:val="auto"/>
          <w:kern w:val="0"/>
          <w:sz w:val="32"/>
          <w:szCs w:val="32"/>
          <w:highlight w:val="none"/>
          <w:lang w:val="en-US" w:eastAsia="zh-CN"/>
        </w:rPr>
      </w:pPr>
      <w:bookmarkStart w:id="205" w:name="_Toc1746680703"/>
      <w:bookmarkStart w:id="206" w:name="_Toc1957755763"/>
      <w:bookmarkStart w:id="207" w:name="_Toc954574065"/>
      <w:r>
        <w:rPr>
          <w:rFonts w:hint="eastAsia" w:ascii="黑体" w:hAnsi="黑体" w:eastAsia="黑体" w:cs="黑体"/>
          <w:snapToGrid w:val="0"/>
          <w:color w:val="auto"/>
          <w:kern w:val="0"/>
          <w:sz w:val="32"/>
          <w:szCs w:val="32"/>
          <w:highlight w:val="none"/>
          <w:lang w:val="en-US" w:eastAsia="zh-CN"/>
        </w:rPr>
        <w:t>附件4</w:t>
      </w:r>
      <w:bookmarkEnd w:id="205"/>
      <w:bookmarkEnd w:id="206"/>
      <w:bookmarkEnd w:id="207"/>
    </w:p>
    <w:p w14:paraId="77AFA174">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jc w:val="both"/>
        <w:textAlignment w:val="baseline"/>
        <w:rPr>
          <w:rFonts w:hint="eastAsia" w:ascii="Times New Roman" w:hAnsi="Arial" w:eastAsia="仿宋_GB2312" w:cs="Arial"/>
          <w:snapToGrid w:val="0"/>
          <w:color w:val="auto"/>
          <w:kern w:val="0"/>
          <w:sz w:val="32"/>
          <w:szCs w:val="32"/>
          <w:highlight w:val="none"/>
          <w:lang w:val="en-US" w:eastAsia="zh-CN"/>
        </w:rPr>
      </w:pPr>
    </w:p>
    <w:p w14:paraId="655FA479">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bookmarkStart w:id="208" w:name="医用耗材省级集中带量采购申报企业承诺函"/>
      <w:bookmarkEnd w:id="208"/>
      <w:bookmarkStart w:id="209" w:name="_Toc2138333503"/>
      <w:bookmarkStart w:id="210" w:name="_Toc782420697"/>
      <w:r>
        <w:rPr>
          <w:rFonts w:hint="eastAsia" w:ascii="方正小标宋简体" w:hAnsi="方正小标宋简体" w:eastAsia="方正小标宋简体" w:cs="方正小标宋简体"/>
          <w:b w:val="0"/>
          <w:bCs w:val="0"/>
          <w:sz w:val="32"/>
          <w:szCs w:val="32"/>
          <w:highlight w:val="none"/>
          <w:lang w:val="en-US" w:eastAsia="zh-CN"/>
        </w:rPr>
        <w:t>一次性使用阴道扩张器</w:t>
      </w:r>
      <w:r>
        <w:rPr>
          <w:rFonts w:hint="eastAsia" w:ascii="方正小标宋简体" w:hAnsi="方正小标宋简体" w:eastAsia="方正小标宋简体" w:cs="方正小标宋简体"/>
          <w:color w:val="000000"/>
          <w:kern w:val="0"/>
          <w:sz w:val="32"/>
          <w:szCs w:val="32"/>
          <w:highlight w:val="none"/>
          <w:lang w:val="en-US" w:eastAsia="zh-CN" w:bidi="ar"/>
        </w:rPr>
        <w:t>全省性联盟集中带量采购</w:t>
      </w:r>
    </w:p>
    <w:p w14:paraId="450B6591">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lang w:val="en-US" w:eastAsia="zh-CN" w:bidi="ar"/>
        </w:rPr>
      </w:pPr>
      <w:r>
        <w:rPr>
          <w:rFonts w:hint="eastAsia" w:ascii="方正小标宋简体" w:hAnsi="方正小标宋简体" w:eastAsia="方正小标宋简体" w:cs="方正小标宋简体"/>
          <w:color w:val="000000"/>
          <w:kern w:val="0"/>
          <w:sz w:val="32"/>
          <w:szCs w:val="32"/>
          <w:highlight w:val="none"/>
          <w:lang w:val="en-US" w:eastAsia="zh-CN" w:bidi="ar"/>
        </w:rPr>
        <w:t>申报企业承诺函</w:t>
      </w:r>
    </w:p>
    <w:p w14:paraId="7848937C">
      <w:pPr>
        <w:pStyle w:val="8"/>
        <w:keepNext w:val="0"/>
        <w:keepLines w:val="0"/>
        <w:pageBreakBefore w:val="0"/>
        <w:kinsoku/>
        <w:wordWrap/>
        <w:overflowPunct/>
        <w:topLinePunct w:val="0"/>
        <w:bidi w:val="0"/>
        <w:adjustRightInd w:val="0"/>
        <w:snapToGrid/>
        <w:spacing w:before="0" w:line="580" w:lineRule="exact"/>
        <w:ind w:left="0" w:right="0" w:rightChars="0"/>
        <w:jc w:val="center"/>
        <w:textAlignment w:val="auto"/>
        <w:rPr>
          <w:rFonts w:hint="eastAsia" w:ascii="黑体" w:hAnsi="黑体" w:eastAsia="黑体" w:cs="黑体"/>
          <w:sz w:val="32"/>
          <w:highlight w:val="none"/>
        </w:rPr>
      </w:pPr>
    </w:p>
    <w:bookmarkEnd w:id="209"/>
    <w:bookmarkEnd w:id="210"/>
    <w:p w14:paraId="6C52A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jc w:val="both"/>
        <w:textAlignment w:val="auto"/>
        <w:rPr>
          <w:rFonts w:hint="eastAsia" w:ascii="仿宋_GB2312" w:hAnsi="仿宋_GB2312" w:eastAsia="仿宋_GB2312" w:cs="仿宋_GB2312"/>
          <w:b w:val="0"/>
          <w:bCs w:val="0"/>
          <w:i w:val="0"/>
          <w:caps w:val="0"/>
          <w:color w:val="333333"/>
          <w:spacing w:val="-11"/>
          <w:kern w:val="0"/>
          <w:sz w:val="32"/>
          <w:szCs w:val="32"/>
          <w:highlight w:val="none"/>
          <w:shd w:val="clear" w:color="auto" w:fill="FFFFFF"/>
          <w:lang w:val="en-US" w:eastAsia="zh-CN" w:bidi="ar"/>
        </w:rPr>
      </w:pPr>
      <w:r>
        <w:rPr>
          <w:rFonts w:hint="eastAsia" w:ascii="仿宋_GB2312" w:hAnsi="仿宋_GB2312" w:eastAsia="仿宋_GB2312" w:cs="仿宋_GB2312"/>
          <w:spacing w:val="-11"/>
          <w:sz w:val="32"/>
          <w:szCs w:val="32"/>
          <w:highlight w:val="none"/>
          <w:lang w:val="en-US" w:eastAsia="zh-CN" w:bidi="ar-SA"/>
        </w:rPr>
        <w:t>一次性使用阴道扩张器全省性联盟集采领导小组办公室</w:t>
      </w:r>
      <w:r>
        <w:rPr>
          <w:rFonts w:hint="eastAsia" w:ascii="仿宋_GB2312" w:hAnsi="仿宋_GB2312" w:eastAsia="仿宋_GB2312" w:cs="仿宋_GB2312"/>
          <w:b w:val="0"/>
          <w:bCs w:val="0"/>
          <w:i w:val="0"/>
          <w:caps w:val="0"/>
          <w:color w:val="333333"/>
          <w:spacing w:val="-11"/>
          <w:kern w:val="0"/>
          <w:sz w:val="32"/>
          <w:szCs w:val="32"/>
          <w:highlight w:val="none"/>
          <w:shd w:val="clear" w:color="auto" w:fill="FFFFFF"/>
          <w:lang w:val="en-US" w:eastAsia="zh-CN" w:bidi="ar"/>
        </w:rPr>
        <w:t>：</w:t>
      </w:r>
    </w:p>
    <w:p w14:paraId="786FDCDC">
      <w:pPr>
        <w:pStyle w:val="8"/>
        <w:keepNext w:val="0"/>
        <w:keepLines w:val="0"/>
        <w:pageBreakBefore w:val="0"/>
        <w:kinsoku/>
        <w:wordWrap/>
        <w:overflowPunct/>
        <w:topLinePunct w:val="0"/>
        <w:bidi w:val="0"/>
        <w:adjustRightInd/>
        <w:snapToGrid/>
        <w:spacing w:before="0" w:line="580" w:lineRule="exact"/>
        <w:ind w:left="0" w:right="0" w:rightChars="0" w:firstLine="640"/>
        <w:textAlignment w:val="auto"/>
        <w:rPr>
          <w:rFonts w:hint="eastAsia" w:ascii="仿宋_GB2312" w:hAnsi="仿宋_GB2312" w:eastAsia="仿宋_GB2312" w:cs="仿宋_GB2312"/>
          <w:spacing w:val="-5"/>
          <w:highlight w:val="none"/>
        </w:rPr>
      </w:pPr>
      <w:r>
        <w:rPr>
          <w:rFonts w:hint="eastAsia" w:ascii="仿宋_GB2312" w:hAnsi="仿宋_GB2312" w:eastAsia="仿宋_GB2312" w:cs="仿宋_GB2312"/>
          <w:spacing w:val="-5"/>
          <w:highlight w:val="none"/>
        </w:rPr>
        <w:t>依据《</w:t>
      </w:r>
      <w:r>
        <w:rPr>
          <w:rFonts w:hint="eastAsia" w:ascii="仿宋_GB2312" w:hAnsi="仿宋_GB2312" w:eastAsia="仿宋_GB2312" w:cs="仿宋_GB2312"/>
          <w:spacing w:val="-5"/>
          <w:highlight w:val="none"/>
          <w:lang w:val="en-US" w:eastAsia="zh-CN"/>
        </w:rPr>
        <w:t>一次性使用阴道扩张器全省性联盟</w:t>
      </w:r>
      <w:r>
        <w:rPr>
          <w:rFonts w:hint="eastAsia" w:ascii="仿宋_GB2312" w:hAnsi="仿宋_GB2312" w:eastAsia="仿宋_GB2312" w:cs="仿宋_GB2312"/>
          <w:spacing w:val="-5"/>
          <w:highlight w:val="none"/>
        </w:rPr>
        <w:t>集中带量采购文件》，我方承诺确保在采购周期内满足中选医用耗材协议采购量需求，具有履行合同必须具备的医用耗材供应能力，并对医用耗材的质量和供应负责。一旦中选，将及时、足量按要求组织生产，并向配送企业发送医用耗材，满足医疗机构临床需求。</w:t>
      </w:r>
    </w:p>
    <w:p w14:paraId="289DC485">
      <w:pPr>
        <w:pStyle w:val="8"/>
        <w:keepNext w:val="0"/>
        <w:keepLines w:val="0"/>
        <w:pageBreakBefore w:val="0"/>
        <w:kinsoku/>
        <w:wordWrap/>
        <w:overflowPunct/>
        <w:topLinePunct w:val="0"/>
        <w:bidi w:val="0"/>
        <w:adjustRightInd/>
        <w:snapToGrid/>
        <w:spacing w:before="0" w:line="580" w:lineRule="exact"/>
        <w:ind w:left="0" w:right="0" w:rightChars="0" w:firstLine="640"/>
        <w:textAlignment w:val="auto"/>
        <w:rPr>
          <w:rFonts w:hint="eastAsia" w:ascii="仿宋_GB2312" w:hAnsi="仿宋_GB2312" w:eastAsia="仿宋_GB2312" w:cs="仿宋_GB2312"/>
          <w:spacing w:val="-5"/>
          <w:highlight w:val="none"/>
          <w:lang w:val="en-US" w:eastAsia="zh-CN"/>
        </w:rPr>
      </w:pPr>
      <w:r>
        <w:rPr>
          <w:rFonts w:hint="eastAsia" w:ascii="仿宋_GB2312" w:hAnsi="仿宋_GB2312" w:eastAsia="仿宋_GB2312" w:cs="仿宋_GB2312"/>
          <w:spacing w:val="-5"/>
          <w:highlight w:val="none"/>
        </w:rPr>
        <w:t>我方承诺申报价不低于本企业产品成本价，</w:t>
      </w:r>
      <w:r>
        <w:rPr>
          <w:rFonts w:hint="eastAsia" w:ascii="仿宋_GB2312" w:hAnsi="仿宋_GB2312" w:eastAsia="仿宋_GB2312" w:cs="仿宋_GB2312"/>
          <w:spacing w:val="-5"/>
          <w:highlight w:val="none"/>
          <w:lang w:val="en-US" w:eastAsia="zh-CN"/>
        </w:rPr>
        <w:t>不高于本企业同产品全国现行有效最低省级挂网价、参与一次性使用阴道扩张器全省性联盟集中带量采购各地市医疗机构填报</w:t>
      </w:r>
      <w:r>
        <w:rPr>
          <w:rFonts w:hint="eastAsia" w:ascii="仿宋_GB2312" w:hAnsi="仿宋_GB2312" w:eastAsia="仿宋_GB2312" w:cs="仿宋_GB2312"/>
          <w:spacing w:val="-5"/>
          <w:highlight w:val="none"/>
        </w:rPr>
        <w:t>的</w:t>
      </w:r>
      <w:r>
        <w:rPr>
          <w:rFonts w:hint="eastAsia" w:ascii="仿宋_GB2312" w:hAnsi="仿宋_GB2312" w:eastAsia="仿宋_GB2312" w:cs="仿宋_GB2312"/>
          <w:spacing w:val="-5"/>
          <w:highlight w:val="none"/>
          <w:lang w:val="en-US" w:eastAsia="zh-CN"/>
        </w:rPr>
        <w:t>最低采购</w:t>
      </w:r>
      <w:r>
        <w:rPr>
          <w:rFonts w:hint="eastAsia" w:ascii="仿宋_GB2312" w:hAnsi="仿宋_GB2312" w:eastAsia="仿宋_GB2312" w:cs="仿宋_GB2312"/>
          <w:spacing w:val="-5"/>
          <w:highlight w:val="none"/>
        </w:rPr>
        <w:t>价格</w:t>
      </w:r>
      <w:r>
        <w:rPr>
          <w:rFonts w:hint="eastAsia" w:ascii="仿宋_GB2312" w:hAnsi="仿宋_GB2312" w:eastAsia="仿宋_GB2312" w:cs="仿宋_GB2312"/>
          <w:spacing w:val="-5"/>
          <w:highlight w:val="none"/>
          <w:lang w:val="en-US" w:eastAsia="zh-CN"/>
        </w:rPr>
        <w:t>、地市级（含联盟）及以上集中采购（含带量采购）价格。</w:t>
      </w:r>
    </w:p>
    <w:p w14:paraId="7D682ABD">
      <w:pPr>
        <w:pStyle w:val="8"/>
        <w:keepNext w:val="0"/>
        <w:keepLines w:val="0"/>
        <w:pageBreakBefore w:val="0"/>
        <w:kinsoku/>
        <w:wordWrap/>
        <w:overflowPunct/>
        <w:topLinePunct w:val="0"/>
        <w:bidi w:val="0"/>
        <w:adjustRightInd/>
        <w:snapToGrid/>
        <w:spacing w:before="0" w:line="580" w:lineRule="exact"/>
        <w:ind w:left="0" w:right="0" w:rightChars="0" w:firstLine="640"/>
        <w:textAlignment w:val="auto"/>
        <w:rPr>
          <w:highlight w:val="none"/>
        </w:rPr>
      </w:pPr>
      <w:r>
        <w:rPr>
          <w:rFonts w:hint="eastAsia" w:ascii="仿宋_GB2312" w:hAnsi="仿宋_GB2312" w:eastAsia="仿宋_GB2312" w:cs="仿宋_GB2312"/>
          <w:spacing w:val="-5"/>
          <w:highlight w:val="none"/>
        </w:rPr>
        <w:t>我方承诺符合《</w:t>
      </w:r>
      <w:r>
        <w:rPr>
          <w:rFonts w:hint="eastAsia" w:ascii="仿宋_GB2312" w:hAnsi="仿宋_GB2312" w:eastAsia="仿宋_GB2312" w:cs="仿宋_GB2312"/>
          <w:spacing w:val="-5"/>
          <w:highlight w:val="none"/>
          <w:lang w:val="en-US" w:eastAsia="zh-CN"/>
        </w:rPr>
        <w:t>一次性使用阴道扩张器全省性联盟</w:t>
      </w:r>
      <w:r>
        <w:rPr>
          <w:rFonts w:hint="eastAsia" w:ascii="仿宋_GB2312" w:hAnsi="仿宋_GB2312" w:eastAsia="仿宋_GB2312" w:cs="仿宋_GB2312"/>
          <w:spacing w:val="-5"/>
          <w:highlight w:val="none"/>
        </w:rPr>
        <w:t>集中带量采购文件》申报资格的相关要求。</w:t>
      </w:r>
    </w:p>
    <w:p w14:paraId="76FE6BCE">
      <w:pPr>
        <w:pStyle w:val="8"/>
        <w:keepNext w:val="0"/>
        <w:keepLines w:val="0"/>
        <w:pageBreakBefore w:val="0"/>
        <w:kinsoku/>
        <w:wordWrap/>
        <w:overflowPunct/>
        <w:topLinePunct w:val="0"/>
        <w:bidi w:val="0"/>
        <w:snapToGrid/>
        <w:spacing w:before="0" w:line="580" w:lineRule="exact"/>
        <w:ind w:left="0" w:right="0" w:rightChars="0"/>
        <w:textAlignment w:val="auto"/>
        <w:rPr>
          <w:highlight w:val="none"/>
        </w:rPr>
      </w:pPr>
    </w:p>
    <w:p w14:paraId="0E25F472">
      <w:pPr>
        <w:pStyle w:val="8"/>
        <w:keepNext w:val="0"/>
        <w:keepLines w:val="0"/>
        <w:pageBreakBefore w:val="0"/>
        <w:kinsoku/>
        <w:wordWrap/>
        <w:overflowPunct/>
        <w:topLinePunct w:val="0"/>
        <w:bidi w:val="0"/>
        <w:snapToGrid/>
        <w:spacing w:before="0" w:line="580" w:lineRule="exact"/>
        <w:ind w:left="0" w:right="0" w:rightChars="0"/>
        <w:textAlignment w:val="auto"/>
        <w:rPr>
          <w:sz w:val="26"/>
          <w:highlight w:val="none"/>
        </w:rPr>
      </w:pPr>
    </w:p>
    <w:p w14:paraId="6C40EC43">
      <w:pPr>
        <w:pStyle w:val="8"/>
        <w:keepNext w:val="0"/>
        <w:keepLines w:val="0"/>
        <w:pageBreakBefore w:val="0"/>
        <w:kinsoku/>
        <w:wordWrap/>
        <w:overflowPunct/>
        <w:topLinePunct w:val="0"/>
        <w:bidi w:val="0"/>
        <w:snapToGrid/>
        <w:spacing w:before="0" w:line="580" w:lineRule="exact"/>
        <w:ind w:left="0" w:right="0" w:rightChars="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r>
        <w:rPr>
          <w:rFonts w:hint="default" w:ascii="仿宋_GB2312" w:hAnsi="仿宋_GB2312" w:eastAsia="仿宋_GB2312" w:cs="仿宋_GB2312"/>
          <w:highlight w:val="none"/>
          <w:lang w:val="en-US"/>
        </w:rPr>
        <w:t xml:space="preserve">                           </w:t>
      </w:r>
      <w:r>
        <w:rPr>
          <w:rFonts w:hint="eastAsia" w:ascii="仿宋_GB2312" w:hAnsi="仿宋_GB2312" w:eastAsia="仿宋_GB2312" w:cs="仿宋_GB2312"/>
          <w:highlight w:val="none"/>
        </w:rPr>
        <w:t>申报企业（盖章）：</w:t>
      </w:r>
    </w:p>
    <w:p w14:paraId="624FB4CC">
      <w:pPr>
        <w:pStyle w:val="8"/>
        <w:keepNext w:val="0"/>
        <w:keepLines w:val="0"/>
        <w:pageBreakBefore w:val="0"/>
        <w:kinsoku/>
        <w:wordWrap/>
        <w:overflowPunct/>
        <w:topLinePunct w:val="0"/>
        <w:bidi w:val="0"/>
        <w:snapToGrid/>
        <w:spacing w:before="0" w:line="580" w:lineRule="exact"/>
        <w:ind w:left="0" w:right="0" w:rightChars="0"/>
        <w:jc w:val="both"/>
        <w:textAlignment w:val="auto"/>
        <w:rPr>
          <w:rFonts w:hint="eastAsia" w:ascii="黑体" w:eastAsia="黑体"/>
          <w:sz w:val="30"/>
          <w:highlight w:val="none"/>
          <w:lang w:val="en-US" w:eastAsia="zh-CN"/>
        </w:rPr>
      </w:pPr>
      <w:r>
        <w:rPr>
          <w:rFonts w:hint="eastAsia" w:ascii="仿宋_GB2312" w:hAnsi="仿宋_GB2312" w:eastAsia="仿宋_GB2312" w:cs="仿宋_GB2312"/>
          <w:highlight w:val="none"/>
        </w:rPr>
        <w:t xml:space="preserve">                         </w:t>
      </w:r>
      <w:r>
        <w:rPr>
          <w:rFonts w:hint="default" w:ascii="仿宋_GB2312" w:hAnsi="仿宋_GB2312" w:eastAsia="仿宋_GB2312" w:cs="仿宋_GB2312"/>
          <w:highlight w:val="none"/>
          <w:lang w:val="en-US"/>
        </w:rPr>
        <w:t xml:space="preserve">   </w:t>
      </w:r>
      <w:r>
        <w:rPr>
          <w:rFonts w:hint="eastAsia" w:ascii="仿宋_GB2312" w:hAnsi="仿宋_GB2312" w:eastAsia="仿宋_GB2312" w:cs="仿宋_GB2312"/>
          <w:highlight w:val="none"/>
        </w:rPr>
        <w:t>日期：</w:t>
      </w:r>
    </w:p>
    <w:sectPr>
      <w:footerReference r:id="rId10" w:type="default"/>
      <w:pgSz w:w="11910" w:h="16840"/>
      <w:pgMar w:top="2098" w:right="1474" w:bottom="1984" w:left="1587" w:header="1145" w:footer="127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楷体_GB2312">
    <w:altName w:val="汉仪楷体简"/>
    <w:panose1 w:val="02010609030101010101"/>
    <w:charset w:val="86"/>
    <w:family w:val="auto"/>
    <w:pitch w:val="default"/>
    <w:sig w:usb0="00000000" w:usb1="00000000" w:usb2="00000000" w:usb3="00000000" w:csb0="00040000" w:csb1="00000000"/>
  </w:font>
  <w:font w:name="东文宋体">
    <w:altName w:val="汉仪书宋二KW"/>
    <w:panose1 w:val="00000000000000000000"/>
    <w:charset w:val="00"/>
    <w:family w:val="auto"/>
    <w:pitch w:val="default"/>
    <w:sig w:usb0="00000000" w:usb1="00000000" w:usb2="00000000" w:usb3="00000000" w:csb0="00040001" w:csb1="00000000"/>
  </w:font>
  <w:font w:name="FangSong">
    <w:altName w:val="方正仿宋_GBK"/>
    <w:panose1 w:val="02010609060101010101"/>
    <w:charset w:val="86"/>
    <w:family w:val="auto"/>
    <w:pitch w:val="default"/>
    <w:sig w:usb0="00000000" w:usb1="00000000" w:usb2="00000016" w:usb3="00000000" w:csb0="00040001" w:csb1="00000000"/>
  </w:font>
  <w:font w:name="Cambria Math">
    <w:altName w:val="Kingsoft Math"/>
    <w:panose1 w:val="02040503050406030204"/>
    <w:charset w:val="00"/>
    <w:family w:val="auto"/>
    <w:pitch w:val="default"/>
    <w:sig w:usb0="00000000" w:usb1="00000000" w:usb2="00000000" w:usb3="00000000" w:csb0="2000019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F95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D8A76">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81D8A76">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F0A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C697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B1C697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6DD5">
    <w:pPr>
      <w:pStyle w:val="10"/>
      <w:tabs>
        <w:tab w:val="left" w:pos="916"/>
        <w:tab w:val="clear" w:pos="4153"/>
      </w:tabs>
      <w:rPr>
        <w:rFonts w:hint="eastAsia" w:eastAsia="仿宋"/>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3F48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53F48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8CE0">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1A250">
                          <w:pPr>
                            <w:pStyle w:val="10"/>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EE1A250">
                    <w:pPr>
                      <w:pStyle w:val="10"/>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DDEA">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75834">
                          <w:pPr>
                            <w:pStyle w:val="1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6875834">
                    <w:pPr>
                      <w:pStyle w:val="1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E9A2A">
    <w:pPr>
      <w:pBdr>
        <w:bottom w:val="none" w:color="auto" w:sz="0" w:space="0"/>
      </w:pBdr>
      <w:spacing w:line="22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69EE8"/>
    <w:multiLevelType w:val="singleLevel"/>
    <w:tmpl w:val="BA269EE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35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zg2YmMwMjI5M2ZlODk2ZWRiNTBhMGRhZmE0NWQifQ=="/>
  </w:docVars>
  <w:rsids>
    <w:rsidRoot w:val="00172A27"/>
    <w:rsid w:val="0021763F"/>
    <w:rsid w:val="00483F46"/>
    <w:rsid w:val="00960DAA"/>
    <w:rsid w:val="025349D4"/>
    <w:rsid w:val="02DA4630"/>
    <w:rsid w:val="03CE5E40"/>
    <w:rsid w:val="03EA5EB5"/>
    <w:rsid w:val="041765F6"/>
    <w:rsid w:val="043C7BFA"/>
    <w:rsid w:val="04594188"/>
    <w:rsid w:val="04733474"/>
    <w:rsid w:val="055C2923"/>
    <w:rsid w:val="05F4DA7C"/>
    <w:rsid w:val="077B5721"/>
    <w:rsid w:val="07BE4F06"/>
    <w:rsid w:val="07D44582"/>
    <w:rsid w:val="07D780DA"/>
    <w:rsid w:val="07E64349"/>
    <w:rsid w:val="07F73309"/>
    <w:rsid w:val="08415F5A"/>
    <w:rsid w:val="08BA4358"/>
    <w:rsid w:val="094660AA"/>
    <w:rsid w:val="097A600B"/>
    <w:rsid w:val="09EA1793"/>
    <w:rsid w:val="09FB3458"/>
    <w:rsid w:val="0AFE3438"/>
    <w:rsid w:val="0B3163FD"/>
    <w:rsid w:val="0B6E6353"/>
    <w:rsid w:val="0BBB5F37"/>
    <w:rsid w:val="0BE17F66"/>
    <w:rsid w:val="0BF02706"/>
    <w:rsid w:val="0C1A2976"/>
    <w:rsid w:val="0C5A2645"/>
    <w:rsid w:val="0DA15453"/>
    <w:rsid w:val="0DA9547F"/>
    <w:rsid w:val="0DCD3D24"/>
    <w:rsid w:val="0FFFAE15"/>
    <w:rsid w:val="111C3947"/>
    <w:rsid w:val="11320D1D"/>
    <w:rsid w:val="114C5666"/>
    <w:rsid w:val="11DF4B9E"/>
    <w:rsid w:val="12804444"/>
    <w:rsid w:val="12883B5F"/>
    <w:rsid w:val="13FF66D3"/>
    <w:rsid w:val="14C2473C"/>
    <w:rsid w:val="14C8078D"/>
    <w:rsid w:val="15EF0654"/>
    <w:rsid w:val="16757374"/>
    <w:rsid w:val="167B7057"/>
    <w:rsid w:val="167E3C54"/>
    <w:rsid w:val="16C32FBA"/>
    <w:rsid w:val="16CC5A6A"/>
    <w:rsid w:val="17855AC3"/>
    <w:rsid w:val="179C1565"/>
    <w:rsid w:val="17CE1FF2"/>
    <w:rsid w:val="17FE00E2"/>
    <w:rsid w:val="18005E60"/>
    <w:rsid w:val="181001B1"/>
    <w:rsid w:val="1810690F"/>
    <w:rsid w:val="1886047D"/>
    <w:rsid w:val="18AB766B"/>
    <w:rsid w:val="18BE567E"/>
    <w:rsid w:val="18E01421"/>
    <w:rsid w:val="19A1294D"/>
    <w:rsid w:val="1A8153A1"/>
    <w:rsid w:val="1AB73CA7"/>
    <w:rsid w:val="1AFC6CAF"/>
    <w:rsid w:val="1B18114F"/>
    <w:rsid w:val="1B40569F"/>
    <w:rsid w:val="1B7A674F"/>
    <w:rsid w:val="1B8074FC"/>
    <w:rsid w:val="1BCF0040"/>
    <w:rsid w:val="1BFC55C6"/>
    <w:rsid w:val="1C6934E8"/>
    <w:rsid w:val="1C7049AF"/>
    <w:rsid w:val="1D2F7108"/>
    <w:rsid w:val="1D55694A"/>
    <w:rsid w:val="1D9C7A62"/>
    <w:rsid w:val="1DFC5623"/>
    <w:rsid w:val="1E205195"/>
    <w:rsid w:val="1E4F7AE7"/>
    <w:rsid w:val="1EF79D01"/>
    <w:rsid w:val="1F1A2571"/>
    <w:rsid w:val="1F79C4BC"/>
    <w:rsid w:val="1F91414E"/>
    <w:rsid w:val="1FEF2B9D"/>
    <w:rsid w:val="208E1DD6"/>
    <w:rsid w:val="20B13D28"/>
    <w:rsid w:val="21701182"/>
    <w:rsid w:val="22C619F2"/>
    <w:rsid w:val="231C30DA"/>
    <w:rsid w:val="23B01473"/>
    <w:rsid w:val="24795484"/>
    <w:rsid w:val="248B5A96"/>
    <w:rsid w:val="249B03B5"/>
    <w:rsid w:val="24DB5769"/>
    <w:rsid w:val="251E6052"/>
    <w:rsid w:val="26770915"/>
    <w:rsid w:val="26CB595F"/>
    <w:rsid w:val="26E7A3BF"/>
    <w:rsid w:val="27B67149"/>
    <w:rsid w:val="27FDB9A8"/>
    <w:rsid w:val="2800441D"/>
    <w:rsid w:val="280A7BE3"/>
    <w:rsid w:val="282B72FB"/>
    <w:rsid w:val="286345FC"/>
    <w:rsid w:val="2884710B"/>
    <w:rsid w:val="28BF5E51"/>
    <w:rsid w:val="29110ED2"/>
    <w:rsid w:val="291C10EB"/>
    <w:rsid w:val="29305858"/>
    <w:rsid w:val="29B15C8D"/>
    <w:rsid w:val="2A7744A6"/>
    <w:rsid w:val="2AF4066A"/>
    <w:rsid w:val="2B6A0CD3"/>
    <w:rsid w:val="2B9BB047"/>
    <w:rsid w:val="2BF77AFB"/>
    <w:rsid w:val="2CD51061"/>
    <w:rsid w:val="2D0D7A89"/>
    <w:rsid w:val="2D6FB839"/>
    <w:rsid w:val="2DCC2270"/>
    <w:rsid w:val="2E374432"/>
    <w:rsid w:val="2E6F37C6"/>
    <w:rsid w:val="2EBBB8BD"/>
    <w:rsid w:val="2F3F68D0"/>
    <w:rsid w:val="2F710EFD"/>
    <w:rsid w:val="2F76D01E"/>
    <w:rsid w:val="30114E39"/>
    <w:rsid w:val="308C026A"/>
    <w:rsid w:val="30B378BB"/>
    <w:rsid w:val="30E03E72"/>
    <w:rsid w:val="3116203E"/>
    <w:rsid w:val="31A85B0B"/>
    <w:rsid w:val="32AF4795"/>
    <w:rsid w:val="32C97B66"/>
    <w:rsid w:val="331104A5"/>
    <w:rsid w:val="332C529E"/>
    <w:rsid w:val="349DB9E6"/>
    <w:rsid w:val="34B376B3"/>
    <w:rsid w:val="34B70304"/>
    <w:rsid w:val="34BB608F"/>
    <w:rsid w:val="35566ADF"/>
    <w:rsid w:val="358688FB"/>
    <w:rsid w:val="360C010F"/>
    <w:rsid w:val="36283F07"/>
    <w:rsid w:val="364D395A"/>
    <w:rsid w:val="36DF4A42"/>
    <w:rsid w:val="36E628F7"/>
    <w:rsid w:val="371D7AD5"/>
    <w:rsid w:val="372350DA"/>
    <w:rsid w:val="376965CF"/>
    <w:rsid w:val="37735062"/>
    <w:rsid w:val="37FD1F07"/>
    <w:rsid w:val="381676FD"/>
    <w:rsid w:val="38727347"/>
    <w:rsid w:val="38943123"/>
    <w:rsid w:val="39E75CF5"/>
    <w:rsid w:val="39FF7BE7"/>
    <w:rsid w:val="3A4220F5"/>
    <w:rsid w:val="3A493904"/>
    <w:rsid w:val="3A5E6008"/>
    <w:rsid w:val="3AF677E3"/>
    <w:rsid w:val="3B255741"/>
    <w:rsid w:val="3B570125"/>
    <w:rsid w:val="3B77702A"/>
    <w:rsid w:val="3BAF4289"/>
    <w:rsid w:val="3BEF1EB7"/>
    <w:rsid w:val="3BF761E4"/>
    <w:rsid w:val="3BFF42E4"/>
    <w:rsid w:val="3C03250B"/>
    <w:rsid w:val="3C252BA9"/>
    <w:rsid w:val="3C591875"/>
    <w:rsid w:val="3C8C62B5"/>
    <w:rsid w:val="3CB53E33"/>
    <w:rsid w:val="3D200C3D"/>
    <w:rsid w:val="3D9D244F"/>
    <w:rsid w:val="3DBD1D7D"/>
    <w:rsid w:val="3DDF489E"/>
    <w:rsid w:val="3DF7480E"/>
    <w:rsid w:val="3DFFE4F2"/>
    <w:rsid w:val="3E3B7A3E"/>
    <w:rsid w:val="3E7FB371"/>
    <w:rsid w:val="3E8EFBFC"/>
    <w:rsid w:val="3EBCF569"/>
    <w:rsid w:val="3ECA2FF0"/>
    <w:rsid w:val="3EFE8DDD"/>
    <w:rsid w:val="3F1791B1"/>
    <w:rsid w:val="3F73643E"/>
    <w:rsid w:val="3F73F0D5"/>
    <w:rsid w:val="3F792B6D"/>
    <w:rsid w:val="3FB380C6"/>
    <w:rsid w:val="3FC986E2"/>
    <w:rsid w:val="3FCC64C9"/>
    <w:rsid w:val="3FDBBF8A"/>
    <w:rsid w:val="3FDEF9FA"/>
    <w:rsid w:val="3FEA6067"/>
    <w:rsid w:val="3FFB3592"/>
    <w:rsid w:val="403B13C4"/>
    <w:rsid w:val="40903039"/>
    <w:rsid w:val="40CA654D"/>
    <w:rsid w:val="412D164A"/>
    <w:rsid w:val="42030D94"/>
    <w:rsid w:val="42144EA3"/>
    <w:rsid w:val="42240D23"/>
    <w:rsid w:val="42933CCC"/>
    <w:rsid w:val="42E466EA"/>
    <w:rsid w:val="43023472"/>
    <w:rsid w:val="4368615F"/>
    <w:rsid w:val="43881E28"/>
    <w:rsid w:val="43DA6112"/>
    <w:rsid w:val="43EF1492"/>
    <w:rsid w:val="43F85298"/>
    <w:rsid w:val="43FB72DC"/>
    <w:rsid w:val="43FECF49"/>
    <w:rsid w:val="446408F0"/>
    <w:rsid w:val="449A2D48"/>
    <w:rsid w:val="44B40ED4"/>
    <w:rsid w:val="44FA02FF"/>
    <w:rsid w:val="450F36EA"/>
    <w:rsid w:val="45F94EB9"/>
    <w:rsid w:val="468A3CFD"/>
    <w:rsid w:val="46920328"/>
    <w:rsid w:val="47043A29"/>
    <w:rsid w:val="4708124C"/>
    <w:rsid w:val="471A6137"/>
    <w:rsid w:val="47830ECF"/>
    <w:rsid w:val="47F4609E"/>
    <w:rsid w:val="48445BD6"/>
    <w:rsid w:val="48911C54"/>
    <w:rsid w:val="48A0111C"/>
    <w:rsid w:val="490306E4"/>
    <w:rsid w:val="49576ADD"/>
    <w:rsid w:val="499DE082"/>
    <w:rsid w:val="4A034451"/>
    <w:rsid w:val="4A525F16"/>
    <w:rsid w:val="4A586870"/>
    <w:rsid w:val="4AC05191"/>
    <w:rsid w:val="4AC7650A"/>
    <w:rsid w:val="4AEA556D"/>
    <w:rsid w:val="4AF0701B"/>
    <w:rsid w:val="4AFC49DF"/>
    <w:rsid w:val="4B2F96DF"/>
    <w:rsid w:val="4BB46D99"/>
    <w:rsid w:val="4BB9F505"/>
    <w:rsid w:val="4BF8E4B0"/>
    <w:rsid w:val="4C61411B"/>
    <w:rsid w:val="4CC667D1"/>
    <w:rsid w:val="4D88492B"/>
    <w:rsid w:val="4DAE7EA0"/>
    <w:rsid w:val="4DB6E416"/>
    <w:rsid w:val="4DFF0C49"/>
    <w:rsid w:val="4EB85E39"/>
    <w:rsid w:val="4EEE0AB1"/>
    <w:rsid w:val="4EF91A44"/>
    <w:rsid w:val="4EFBC7AF"/>
    <w:rsid w:val="4F1E9D54"/>
    <w:rsid w:val="4F6B127B"/>
    <w:rsid w:val="4F9217DE"/>
    <w:rsid w:val="4FAF183A"/>
    <w:rsid w:val="4FB9294E"/>
    <w:rsid w:val="4FF51641"/>
    <w:rsid w:val="50342628"/>
    <w:rsid w:val="50EE17A6"/>
    <w:rsid w:val="51C9903F"/>
    <w:rsid w:val="522A035E"/>
    <w:rsid w:val="52C94BD4"/>
    <w:rsid w:val="52D11624"/>
    <w:rsid w:val="52E26224"/>
    <w:rsid w:val="53FFCFFC"/>
    <w:rsid w:val="540463E4"/>
    <w:rsid w:val="545614C2"/>
    <w:rsid w:val="546037BA"/>
    <w:rsid w:val="546B5D09"/>
    <w:rsid w:val="552D196B"/>
    <w:rsid w:val="556A0B58"/>
    <w:rsid w:val="55EE6EE1"/>
    <w:rsid w:val="55F6E468"/>
    <w:rsid w:val="562F1B79"/>
    <w:rsid w:val="56EC6C0D"/>
    <w:rsid w:val="577B5D45"/>
    <w:rsid w:val="57EF4C19"/>
    <w:rsid w:val="57F70465"/>
    <w:rsid w:val="57FF6A10"/>
    <w:rsid w:val="5814059B"/>
    <w:rsid w:val="58801F0A"/>
    <w:rsid w:val="59A16C8C"/>
    <w:rsid w:val="59E6048B"/>
    <w:rsid w:val="5A70491F"/>
    <w:rsid w:val="5A7FC938"/>
    <w:rsid w:val="5AC473BB"/>
    <w:rsid w:val="5ADD0ED3"/>
    <w:rsid w:val="5B0502B2"/>
    <w:rsid w:val="5B150C81"/>
    <w:rsid w:val="5B860B37"/>
    <w:rsid w:val="5BCF6A53"/>
    <w:rsid w:val="5BFACBC2"/>
    <w:rsid w:val="5BFAE21D"/>
    <w:rsid w:val="5C193170"/>
    <w:rsid w:val="5CFEDDA9"/>
    <w:rsid w:val="5D525C46"/>
    <w:rsid w:val="5D612657"/>
    <w:rsid w:val="5DA85288"/>
    <w:rsid w:val="5EC770A1"/>
    <w:rsid w:val="5EF9B906"/>
    <w:rsid w:val="5F3FCE1E"/>
    <w:rsid w:val="5F9DF355"/>
    <w:rsid w:val="5FA7F613"/>
    <w:rsid w:val="5FB07F53"/>
    <w:rsid w:val="5FBA5757"/>
    <w:rsid w:val="5FC57EFE"/>
    <w:rsid w:val="5FD3A1E7"/>
    <w:rsid w:val="5FF91404"/>
    <w:rsid w:val="5FFF9880"/>
    <w:rsid w:val="613B52AA"/>
    <w:rsid w:val="615255EB"/>
    <w:rsid w:val="62576A63"/>
    <w:rsid w:val="62D039AE"/>
    <w:rsid w:val="62E91C4E"/>
    <w:rsid w:val="649BEFB3"/>
    <w:rsid w:val="64C32489"/>
    <w:rsid w:val="655A2973"/>
    <w:rsid w:val="6593771C"/>
    <w:rsid w:val="65B7BC1E"/>
    <w:rsid w:val="65BF786B"/>
    <w:rsid w:val="65CD6BEE"/>
    <w:rsid w:val="65D16E7D"/>
    <w:rsid w:val="66CB4FD3"/>
    <w:rsid w:val="66DD592D"/>
    <w:rsid w:val="66FF45CD"/>
    <w:rsid w:val="67FF51AC"/>
    <w:rsid w:val="67FF6C26"/>
    <w:rsid w:val="6812307D"/>
    <w:rsid w:val="685B6DB7"/>
    <w:rsid w:val="689C7AF3"/>
    <w:rsid w:val="693C34D8"/>
    <w:rsid w:val="699349A2"/>
    <w:rsid w:val="69BB26C3"/>
    <w:rsid w:val="69CF23DF"/>
    <w:rsid w:val="69E5D2F3"/>
    <w:rsid w:val="6AA77BB6"/>
    <w:rsid w:val="6ABBD8B8"/>
    <w:rsid w:val="6AE79406"/>
    <w:rsid w:val="6B2826D6"/>
    <w:rsid w:val="6B565EFF"/>
    <w:rsid w:val="6BEFB812"/>
    <w:rsid w:val="6CC5544F"/>
    <w:rsid w:val="6D0B0036"/>
    <w:rsid w:val="6D302A87"/>
    <w:rsid w:val="6D370C18"/>
    <w:rsid w:val="6DDE0534"/>
    <w:rsid w:val="6DE77F95"/>
    <w:rsid w:val="6DEA4CC2"/>
    <w:rsid w:val="6DEC45C2"/>
    <w:rsid w:val="6E2A3E96"/>
    <w:rsid w:val="6E79879D"/>
    <w:rsid w:val="6E835FC6"/>
    <w:rsid w:val="6E982F22"/>
    <w:rsid w:val="6ECD3FCA"/>
    <w:rsid w:val="6EEF5FC7"/>
    <w:rsid w:val="6EF151C3"/>
    <w:rsid w:val="6F17C619"/>
    <w:rsid w:val="6F1E0C49"/>
    <w:rsid w:val="6F347A9E"/>
    <w:rsid w:val="6F695458"/>
    <w:rsid w:val="6F6EE0CE"/>
    <w:rsid w:val="6F6F1515"/>
    <w:rsid w:val="6F734CE4"/>
    <w:rsid w:val="6F741E87"/>
    <w:rsid w:val="6F7680C7"/>
    <w:rsid w:val="6FA63C38"/>
    <w:rsid w:val="6FB97F4B"/>
    <w:rsid w:val="6FBDC688"/>
    <w:rsid w:val="6FDF1965"/>
    <w:rsid w:val="6FEDB103"/>
    <w:rsid w:val="6FEF9057"/>
    <w:rsid w:val="6FEFB253"/>
    <w:rsid w:val="6FF66D55"/>
    <w:rsid w:val="6FF7BDFB"/>
    <w:rsid w:val="6FFE4E1A"/>
    <w:rsid w:val="6FFF1D6B"/>
    <w:rsid w:val="70097753"/>
    <w:rsid w:val="702675D1"/>
    <w:rsid w:val="70C72F90"/>
    <w:rsid w:val="714E9CBF"/>
    <w:rsid w:val="716E04EF"/>
    <w:rsid w:val="71775FB5"/>
    <w:rsid w:val="71F55DD0"/>
    <w:rsid w:val="726D7AE9"/>
    <w:rsid w:val="7283297C"/>
    <w:rsid w:val="72AE7DE2"/>
    <w:rsid w:val="72FBB1DE"/>
    <w:rsid w:val="73640162"/>
    <w:rsid w:val="73961F19"/>
    <w:rsid w:val="73D4612E"/>
    <w:rsid w:val="73EE142D"/>
    <w:rsid w:val="74430EF0"/>
    <w:rsid w:val="74995F33"/>
    <w:rsid w:val="755FED35"/>
    <w:rsid w:val="759D8569"/>
    <w:rsid w:val="75ED4AD2"/>
    <w:rsid w:val="762027B2"/>
    <w:rsid w:val="76874601"/>
    <w:rsid w:val="771D11FE"/>
    <w:rsid w:val="7738D8EA"/>
    <w:rsid w:val="77472180"/>
    <w:rsid w:val="777DCF01"/>
    <w:rsid w:val="77AB111A"/>
    <w:rsid w:val="77BBAE36"/>
    <w:rsid w:val="77C95DEE"/>
    <w:rsid w:val="77CFDADE"/>
    <w:rsid w:val="77DD37F4"/>
    <w:rsid w:val="77F6E03E"/>
    <w:rsid w:val="77F8A9CB"/>
    <w:rsid w:val="77FD3EB1"/>
    <w:rsid w:val="78D815E2"/>
    <w:rsid w:val="795B6F1F"/>
    <w:rsid w:val="79676633"/>
    <w:rsid w:val="7979B205"/>
    <w:rsid w:val="797A77F3"/>
    <w:rsid w:val="797E4E15"/>
    <w:rsid w:val="79841604"/>
    <w:rsid w:val="79A105D1"/>
    <w:rsid w:val="79A435BD"/>
    <w:rsid w:val="79DFF69B"/>
    <w:rsid w:val="79ED2D88"/>
    <w:rsid w:val="7A3F17CD"/>
    <w:rsid w:val="7AA7EB19"/>
    <w:rsid w:val="7ADFBB72"/>
    <w:rsid w:val="7B1258EB"/>
    <w:rsid w:val="7B6850D1"/>
    <w:rsid w:val="7B6A0A89"/>
    <w:rsid w:val="7B7FCAE9"/>
    <w:rsid w:val="7BB81026"/>
    <w:rsid w:val="7BCF1615"/>
    <w:rsid w:val="7BE266AA"/>
    <w:rsid w:val="7BE814B9"/>
    <w:rsid w:val="7BF179D3"/>
    <w:rsid w:val="7BF66155"/>
    <w:rsid w:val="7BFA1108"/>
    <w:rsid w:val="7BFAA8CC"/>
    <w:rsid w:val="7C532343"/>
    <w:rsid w:val="7C9E564F"/>
    <w:rsid w:val="7CB321E5"/>
    <w:rsid w:val="7CFE355A"/>
    <w:rsid w:val="7D5F6F70"/>
    <w:rsid w:val="7D67FE67"/>
    <w:rsid w:val="7D6D0192"/>
    <w:rsid w:val="7D7C4E56"/>
    <w:rsid w:val="7D900DCC"/>
    <w:rsid w:val="7DBB4C7E"/>
    <w:rsid w:val="7DFA883E"/>
    <w:rsid w:val="7DFB1279"/>
    <w:rsid w:val="7DFC5C6E"/>
    <w:rsid w:val="7DFD9CA3"/>
    <w:rsid w:val="7DFF5813"/>
    <w:rsid w:val="7E517117"/>
    <w:rsid w:val="7E5FA448"/>
    <w:rsid w:val="7EBF57AD"/>
    <w:rsid w:val="7EC034AC"/>
    <w:rsid w:val="7EDF22BD"/>
    <w:rsid w:val="7EE701F5"/>
    <w:rsid w:val="7EE97918"/>
    <w:rsid w:val="7EF60AD8"/>
    <w:rsid w:val="7F0137DA"/>
    <w:rsid w:val="7F29C35D"/>
    <w:rsid w:val="7F59754B"/>
    <w:rsid w:val="7F5E8766"/>
    <w:rsid w:val="7F6E813E"/>
    <w:rsid w:val="7F9F5370"/>
    <w:rsid w:val="7F9FB9A5"/>
    <w:rsid w:val="7FB4C80F"/>
    <w:rsid w:val="7FBF6324"/>
    <w:rsid w:val="7FCF3401"/>
    <w:rsid w:val="7FD9AC3C"/>
    <w:rsid w:val="7FE69D88"/>
    <w:rsid w:val="7FE7E663"/>
    <w:rsid w:val="7FE83055"/>
    <w:rsid w:val="7FF3238E"/>
    <w:rsid w:val="7FF71708"/>
    <w:rsid w:val="7FF78AD7"/>
    <w:rsid w:val="7FFD3AE1"/>
    <w:rsid w:val="7FFDBABF"/>
    <w:rsid w:val="7FFDDC96"/>
    <w:rsid w:val="7FFF25F7"/>
    <w:rsid w:val="7FFF315E"/>
    <w:rsid w:val="7FFF3C34"/>
    <w:rsid w:val="7FFF42CE"/>
    <w:rsid w:val="7FFF62B6"/>
    <w:rsid w:val="7FFFD8ED"/>
    <w:rsid w:val="8376A55D"/>
    <w:rsid w:val="96DFF766"/>
    <w:rsid w:val="9787B9BF"/>
    <w:rsid w:val="97E7E35E"/>
    <w:rsid w:val="97FC3A39"/>
    <w:rsid w:val="97FFCF1F"/>
    <w:rsid w:val="99FB5FA6"/>
    <w:rsid w:val="9AB76687"/>
    <w:rsid w:val="9BFA9727"/>
    <w:rsid w:val="9EDB31C9"/>
    <w:rsid w:val="9EF6626B"/>
    <w:rsid w:val="9EFC7595"/>
    <w:rsid w:val="9F77ABD8"/>
    <w:rsid w:val="9F925FB7"/>
    <w:rsid w:val="9FDF9479"/>
    <w:rsid w:val="9FFFC29E"/>
    <w:rsid w:val="A3FFE6F8"/>
    <w:rsid w:val="A6FB82E9"/>
    <w:rsid w:val="A7FF6118"/>
    <w:rsid w:val="A9BFCBD2"/>
    <w:rsid w:val="AE7FEBD4"/>
    <w:rsid w:val="AEC31734"/>
    <w:rsid w:val="B3578B59"/>
    <w:rsid w:val="B36B819E"/>
    <w:rsid w:val="B5CE55CA"/>
    <w:rsid w:val="B7E9FDFC"/>
    <w:rsid w:val="B7F66437"/>
    <w:rsid w:val="B9373FE2"/>
    <w:rsid w:val="B97BC8DA"/>
    <w:rsid w:val="B9FD5883"/>
    <w:rsid w:val="BB58F69E"/>
    <w:rsid w:val="BBB9D5E8"/>
    <w:rsid w:val="BBBFB2E8"/>
    <w:rsid w:val="BBFB6E2A"/>
    <w:rsid w:val="BCFB21F6"/>
    <w:rsid w:val="BD9F1FA7"/>
    <w:rsid w:val="BDDFABA5"/>
    <w:rsid w:val="BDF49AC4"/>
    <w:rsid w:val="BE9C5F87"/>
    <w:rsid w:val="BEBEB421"/>
    <w:rsid w:val="BEDEAC73"/>
    <w:rsid w:val="BEFF64A1"/>
    <w:rsid w:val="BF2F606A"/>
    <w:rsid w:val="BF324AEE"/>
    <w:rsid w:val="BFAA6424"/>
    <w:rsid w:val="BFB87D44"/>
    <w:rsid w:val="BFBF7AAA"/>
    <w:rsid w:val="BFDB7E1B"/>
    <w:rsid w:val="BFDFA445"/>
    <w:rsid w:val="BFE5F259"/>
    <w:rsid w:val="BFF7F337"/>
    <w:rsid w:val="BFFB8900"/>
    <w:rsid w:val="BFFC7316"/>
    <w:rsid w:val="BFFF2536"/>
    <w:rsid w:val="BFFFE655"/>
    <w:rsid w:val="C1FFBA75"/>
    <w:rsid w:val="C5EF6E98"/>
    <w:rsid w:val="CBF7A071"/>
    <w:rsid w:val="CC5535BB"/>
    <w:rsid w:val="CD775B1B"/>
    <w:rsid w:val="CF0F3285"/>
    <w:rsid w:val="CFFF7B71"/>
    <w:rsid w:val="CFFF971C"/>
    <w:rsid w:val="D4F7D532"/>
    <w:rsid w:val="D579E65E"/>
    <w:rsid w:val="D6FFCA69"/>
    <w:rsid w:val="D77FF755"/>
    <w:rsid w:val="D7BB200B"/>
    <w:rsid w:val="D8B7545B"/>
    <w:rsid w:val="D97CB734"/>
    <w:rsid w:val="D9B3EF5B"/>
    <w:rsid w:val="D9FDA6BF"/>
    <w:rsid w:val="DB7BD33C"/>
    <w:rsid w:val="DBBF4807"/>
    <w:rsid w:val="DBDB29AB"/>
    <w:rsid w:val="DBFD7520"/>
    <w:rsid w:val="DBFF4518"/>
    <w:rsid w:val="DCB93659"/>
    <w:rsid w:val="DCD5145A"/>
    <w:rsid w:val="DDCFF320"/>
    <w:rsid w:val="DDFB6A8C"/>
    <w:rsid w:val="DE728EA8"/>
    <w:rsid w:val="DEBC8905"/>
    <w:rsid w:val="DF5764CA"/>
    <w:rsid w:val="DF7DAF97"/>
    <w:rsid w:val="DF8F792A"/>
    <w:rsid w:val="DFAFE165"/>
    <w:rsid w:val="DFB64CD0"/>
    <w:rsid w:val="DFDE0F79"/>
    <w:rsid w:val="DFEF307B"/>
    <w:rsid w:val="DFF55F08"/>
    <w:rsid w:val="DFF9005B"/>
    <w:rsid w:val="DFFF1B9F"/>
    <w:rsid w:val="DFFF665D"/>
    <w:rsid w:val="DFFF6C23"/>
    <w:rsid w:val="E1FF5EAA"/>
    <w:rsid w:val="E2935FFA"/>
    <w:rsid w:val="E2EBE873"/>
    <w:rsid w:val="E32E8952"/>
    <w:rsid w:val="E3E7653A"/>
    <w:rsid w:val="E3FB28CA"/>
    <w:rsid w:val="E4BD4177"/>
    <w:rsid w:val="E4EEFE60"/>
    <w:rsid w:val="E53FAD57"/>
    <w:rsid w:val="E577A9C3"/>
    <w:rsid w:val="E67FAD97"/>
    <w:rsid w:val="E6CFB530"/>
    <w:rsid w:val="E78A7151"/>
    <w:rsid w:val="E7FB5346"/>
    <w:rsid w:val="E87DB762"/>
    <w:rsid w:val="E8BF75AC"/>
    <w:rsid w:val="E9FE41CC"/>
    <w:rsid w:val="EAFF13CE"/>
    <w:rsid w:val="EB644B7F"/>
    <w:rsid w:val="EB75630C"/>
    <w:rsid w:val="EB7B44FC"/>
    <w:rsid w:val="EBB868FE"/>
    <w:rsid w:val="EBBBA9BE"/>
    <w:rsid w:val="EC2FD509"/>
    <w:rsid w:val="ECE38B75"/>
    <w:rsid w:val="ECFF4E6F"/>
    <w:rsid w:val="ED582CCD"/>
    <w:rsid w:val="ED5B91D9"/>
    <w:rsid w:val="ED7BCBEE"/>
    <w:rsid w:val="EDDF2906"/>
    <w:rsid w:val="EEAAF918"/>
    <w:rsid w:val="EF27F98D"/>
    <w:rsid w:val="EF6FCBF6"/>
    <w:rsid w:val="EF7F8716"/>
    <w:rsid w:val="EFBF6751"/>
    <w:rsid w:val="EFBFCD86"/>
    <w:rsid w:val="EFE882C2"/>
    <w:rsid w:val="EFF21B53"/>
    <w:rsid w:val="EFF7086E"/>
    <w:rsid w:val="EFFB313C"/>
    <w:rsid w:val="EFFF2723"/>
    <w:rsid w:val="EFFFD9C5"/>
    <w:rsid w:val="EFFFDEE9"/>
    <w:rsid w:val="F2BE7394"/>
    <w:rsid w:val="F3EA477C"/>
    <w:rsid w:val="F3F72B53"/>
    <w:rsid w:val="F3FB7A45"/>
    <w:rsid w:val="F57F57F3"/>
    <w:rsid w:val="F5FBA065"/>
    <w:rsid w:val="F63DDBDF"/>
    <w:rsid w:val="F6B386C3"/>
    <w:rsid w:val="F6BFED7C"/>
    <w:rsid w:val="F6DDBD3E"/>
    <w:rsid w:val="F6FF94A2"/>
    <w:rsid w:val="F77624FA"/>
    <w:rsid w:val="F85E606C"/>
    <w:rsid w:val="F8EB7F2D"/>
    <w:rsid w:val="F9AC0094"/>
    <w:rsid w:val="F9FE4244"/>
    <w:rsid w:val="FABEFFE0"/>
    <w:rsid w:val="FB7E7AE0"/>
    <w:rsid w:val="FB9BE1AB"/>
    <w:rsid w:val="FBCFAEB8"/>
    <w:rsid w:val="FBDF47E9"/>
    <w:rsid w:val="FBE73759"/>
    <w:rsid w:val="FBEE40E9"/>
    <w:rsid w:val="FBEFDE6D"/>
    <w:rsid w:val="FC9BE709"/>
    <w:rsid w:val="FC9D1A51"/>
    <w:rsid w:val="FCDD5AC7"/>
    <w:rsid w:val="FD1A88AF"/>
    <w:rsid w:val="FD771BDB"/>
    <w:rsid w:val="FD7B6FC8"/>
    <w:rsid w:val="FDF3BEF2"/>
    <w:rsid w:val="FDF5E1FC"/>
    <w:rsid w:val="FDFB8657"/>
    <w:rsid w:val="FE798B52"/>
    <w:rsid w:val="FE9FEB98"/>
    <w:rsid w:val="FEDEA105"/>
    <w:rsid w:val="FEED57FE"/>
    <w:rsid w:val="FEF70946"/>
    <w:rsid w:val="FEF77E03"/>
    <w:rsid w:val="FEF7AF47"/>
    <w:rsid w:val="FEFFB5AC"/>
    <w:rsid w:val="FEFFE5BD"/>
    <w:rsid w:val="FF3C89B8"/>
    <w:rsid w:val="FF3D1C5C"/>
    <w:rsid w:val="FF3FB5BA"/>
    <w:rsid w:val="FF645C61"/>
    <w:rsid w:val="FF948CAF"/>
    <w:rsid w:val="FF9D79BF"/>
    <w:rsid w:val="FFAF8D42"/>
    <w:rsid w:val="FFB5AF74"/>
    <w:rsid w:val="FFB9D3AC"/>
    <w:rsid w:val="FFB9E451"/>
    <w:rsid w:val="FFBF1BEA"/>
    <w:rsid w:val="FFBFFF83"/>
    <w:rsid w:val="FFCFA0A4"/>
    <w:rsid w:val="FFCFCD9B"/>
    <w:rsid w:val="FFEF9E5E"/>
    <w:rsid w:val="FFFBEF68"/>
    <w:rsid w:val="FFFD6936"/>
    <w:rsid w:val="FFFDA2CE"/>
    <w:rsid w:val="FFFE291E"/>
    <w:rsid w:val="FFFE4ACD"/>
    <w:rsid w:val="FFFF5403"/>
    <w:rsid w:val="FFFF6EF1"/>
    <w:rsid w:val="FFFFC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ind w:left="573"/>
      <w:outlineLvl w:val="1"/>
    </w:pPr>
    <w:rPr>
      <w:rFonts w:ascii="宋体" w:hAnsi="宋体" w:eastAsia="宋体" w:cs="宋体"/>
      <w:sz w:val="44"/>
      <w:szCs w:val="44"/>
      <w:lang w:val="en-US" w:eastAsia="zh-CN" w:bidi="ar-SA"/>
    </w:rPr>
  </w:style>
  <w:style w:type="paragraph" w:styleId="3">
    <w:name w:val="heading 2"/>
    <w:basedOn w:val="1"/>
    <w:next w:val="1"/>
    <w:qFormat/>
    <w:uiPriority w:val="1"/>
    <w:pPr>
      <w:ind w:left="1067" w:hanging="324"/>
      <w:outlineLvl w:val="2"/>
    </w:pPr>
    <w:rPr>
      <w:rFonts w:ascii="仿宋" w:hAnsi="仿宋" w:eastAsia="仿宋" w:cs="仿宋"/>
      <w:b/>
      <w:bCs/>
      <w:sz w:val="32"/>
      <w:szCs w:val="32"/>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6">
    <w:name w:val="toa heading"/>
    <w:basedOn w:val="1"/>
    <w:next w:val="1"/>
    <w:qFormat/>
    <w:uiPriority w:val="0"/>
    <w:rPr>
      <w:rFonts w:ascii="Arial" w:hAnsi="Arial"/>
      <w:sz w:val="24"/>
    </w:rPr>
  </w:style>
  <w:style w:type="paragraph" w:styleId="7">
    <w:name w:val="annotation text"/>
    <w:basedOn w:val="1"/>
    <w:qFormat/>
    <w:uiPriority w:val="0"/>
    <w:pPr>
      <w:jc w:val="left"/>
    </w:pPr>
  </w:style>
  <w:style w:type="paragraph" w:styleId="8">
    <w:name w:val="Body Text"/>
    <w:basedOn w:val="1"/>
    <w:qFormat/>
    <w:uiPriority w:val="1"/>
    <w:rPr>
      <w:rFonts w:ascii="仿宋" w:hAnsi="仿宋" w:eastAsia="仿宋" w:cs="仿宋"/>
      <w:sz w:val="32"/>
      <w:szCs w:val="32"/>
      <w:lang w:val="en-US" w:eastAsia="zh-CN" w:bidi="ar-SA"/>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175"/>
      <w:ind w:left="1200"/>
    </w:pPr>
    <w:rPr>
      <w:rFonts w:ascii="宋体" w:hAnsi="宋体" w:eastAsia="宋体" w:cs="宋体"/>
      <w:sz w:val="30"/>
      <w:szCs w:val="30"/>
      <w:lang w:val="en-US" w:eastAsia="zh-CN" w:bidi="ar-SA"/>
    </w:rPr>
  </w:style>
  <w:style w:type="paragraph" w:styleId="13">
    <w:name w:val="toc 2"/>
    <w:basedOn w:val="1"/>
    <w:next w:val="1"/>
    <w:qFormat/>
    <w:uiPriority w:val="1"/>
    <w:pPr>
      <w:spacing w:before="175"/>
      <w:ind w:left="1800"/>
    </w:pPr>
    <w:rPr>
      <w:rFonts w:ascii="仿宋" w:hAnsi="仿宋" w:eastAsia="仿宋" w:cs="仿宋"/>
      <w:sz w:val="30"/>
      <w:szCs w:val="30"/>
      <w:lang w:val="en-US" w:eastAsia="zh-CN" w:bidi="ar-SA"/>
    </w:rPr>
  </w:style>
  <w:style w:type="paragraph" w:styleId="14">
    <w:name w:val="Normal (Web)"/>
    <w:basedOn w:val="1"/>
    <w:qFormat/>
    <w:uiPriority w:val="0"/>
    <w:rPr>
      <w:sz w:val="24"/>
    </w:rPr>
  </w:style>
  <w:style w:type="paragraph" w:styleId="15">
    <w:name w:val="Title"/>
    <w:basedOn w:val="1"/>
    <w:qFormat/>
    <w:uiPriority w:val="1"/>
    <w:pPr>
      <w:spacing w:before="159"/>
      <w:ind w:left="1152" w:right="1833"/>
      <w:jc w:val="center"/>
    </w:pPr>
    <w:rPr>
      <w:rFonts w:ascii="宋体" w:hAnsi="宋体" w:eastAsia="宋体" w:cs="宋体"/>
      <w:sz w:val="72"/>
      <w:szCs w:val="72"/>
      <w:lang w:val="en-US" w:eastAsia="zh-CN" w:bidi="ar-SA"/>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03" w:firstLine="640"/>
    </w:pPr>
    <w:rPr>
      <w:rFonts w:ascii="仿宋" w:hAnsi="仿宋" w:eastAsia="仿宋" w:cs="仿宋"/>
      <w:lang w:val="en-US" w:eastAsia="zh-CN" w:bidi="ar-SA"/>
    </w:rPr>
  </w:style>
  <w:style w:type="paragraph" w:customStyle="1" w:styleId="24">
    <w:name w:val="Table Paragraph"/>
    <w:basedOn w:val="1"/>
    <w:qFormat/>
    <w:uiPriority w:val="1"/>
    <w:rPr>
      <w:rFonts w:ascii="仿宋" w:hAnsi="仿宋" w:eastAsia="仿宋" w:cs="仿宋"/>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6565</Words>
  <Characters>6809</Characters>
  <Lines>1</Lines>
  <Paragraphs>1</Paragraphs>
  <TotalTime>21</TotalTime>
  <ScaleCrop>false</ScaleCrop>
  <LinksUpToDate>false</LinksUpToDate>
  <CharactersWithSpaces>7319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2024-10-05T00:50:00Z</dcterms:created>
  <dc:creator>Lenovo</dc:creator>
  <cp:lastModifiedBy>sulianshui</cp:lastModifiedBy>
  <cp:lastPrinted>2025-09-12T07:28:00Z</cp:lastPrinted>
  <dcterms:modified xsi:type="dcterms:W3CDTF">2025-09-28T10:05:05Z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WPS 文字</vt:lpwstr>
  </property>
  <property fmtid="{D5CDD505-2E9C-101B-9397-08002B2CF9AE}" pid="4" name="LastSaved">
    <vt:filetime>2024-09-13T00:00:00Z</vt:filetime>
  </property>
  <property fmtid="{D5CDD505-2E9C-101B-9397-08002B2CF9AE}" pid="5" name="KSOProductBuildVer">
    <vt:lpwstr>2052-7.2.2.8955</vt:lpwstr>
  </property>
  <property fmtid="{D5CDD505-2E9C-101B-9397-08002B2CF9AE}" pid="6" name="ICV">
    <vt:lpwstr>078F50A5C02A6325FA91D8682822FF3B_43</vt:lpwstr>
  </property>
</Properties>
</file>