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right="508" w:rightChars="231"/>
        <w:rPr>
          <w:rFonts w:ascii="Times New Roman"/>
          <w:sz w:val="20"/>
          <w:highlight w:val="none"/>
        </w:rPr>
      </w:pPr>
    </w:p>
    <w:p>
      <w:pPr>
        <w:pStyle w:val="15"/>
        <w:spacing w:line="324" w:lineRule="auto"/>
        <w:ind w:left="0" w:leftChars="0" w:right="508" w:rightChars="231" w:firstLine="0" w:firstLineChars="0"/>
        <w:jc w:val="center"/>
        <w:rPr>
          <w:rFonts w:hint="eastAsia" w:ascii="方正小标宋简体" w:hAnsi="方正小标宋简体" w:eastAsia="方正小标宋简体" w:cs="方正小标宋简体"/>
          <w:sz w:val="52"/>
          <w:szCs w:val="52"/>
          <w:highlight w:val="none"/>
          <w:lang w:val="en-US" w:eastAsia="zh-CN"/>
        </w:rPr>
      </w:pPr>
    </w:p>
    <w:p>
      <w:pPr>
        <w:pStyle w:val="15"/>
        <w:spacing w:line="324" w:lineRule="auto"/>
        <w:ind w:left="0" w:leftChars="0" w:right="-48" w:rightChars="-22" w:firstLine="0" w:firstLineChars="0"/>
        <w:jc w:val="center"/>
        <w:rPr>
          <w:rFonts w:hint="eastAsia" w:ascii="方正小标宋简体" w:hAnsi="方正小标宋简体" w:eastAsia="方正小标宋简体" w:cs="方正小标宋简体"/>
          <w:sz w:val="52"/>
          <w:szCs w:val="52"/>
          <w:highlight w:val="none"/>
          <w:lang w:val="en-US" w:eastAsia="zh-CN"/>
        </w:rPr>
      </w:pPr>
      <w:r>
        <w:rPr>
          <w:rFonts w:hint="eastAsia" w:ascii="方正小标宋简体" w:hAnsi="方正小标宋简体" w:eastAsia="方正小标宋简体" w:cs="方正小标宋简体"/>
          <w:sz w:val="52"/>
          <w:szCs w:val="52"/>
          <w:highlight w:val="none"/>
          <w:lang w:val="en-US" w:eastAsia="zh-CN"/>
        </w:rPr>
        <w:t>一次性使用阴道扩张器全省性联盟</w:t>
      </w:r>
    </w:p>
    <w:p>
      <w:pPr>
        <w:pStyle w:val="15"/>
        <w:spacing w:line="324" w:lineRule="auto"/>
        <w:ind w:left="0" w:leftChars="0" w:right="-48" w:rightChars="-22" w:firstLine="0" w:firstLineChars="0"/>
        <w:jc w:val="center"/>
        <w:rPr>
          <w:rFonts w:hint="eastAsia" w:ascii="方正小标宋简体" w:hAnsi="方正小标宋简体" w:eastAsia="方正小标宋简体" w:cs="方正小标宋简体"/>
          <w:sz w:val="52"/>
          <w:szCs w:val="52"/>
          <w:highlight w:val="none"/>
        </w:rPr>
      </w:pPr>
      <w:r>
        <w:rPr>
          <w:rFonts w:hint="eastAsia" w:ascii="方正小标宋简体" w:hAnsi="方正小标宋简体" w:eastAsia="方正小标宋简体" w:cs="方正小标宋简体"/>
          <w:sz w:val="52"/>
          <w:szCs w:val="52"/>
          <w:highlight w:val="none"/>
        </w:rPr>
        <w:t>集中带量</w:t>
      </w:r>
      <w:bookmarkStart w:id="0" w:name="_Toc2032235065"/>
      <w:r>
        <w:rPr>
          <w:rFonts w:hint="eastAsia" w:ascii="方正小标宋简体" w:hAnsi="方正小标宋简体" w:eastAsia="方正小标宋简体" w:cs="方正小标宋简体"/>
          <w:sz w:val="52"/>
          <w:szCs w:val="52"/>
          <w:highlight w:val="none"/>
        </w:rPr>
        <w:t>采购文件</w:t>
      </w:r>
      <w:bookmarkEnd w:id="0"/>
    </w:p>
    <w:p>
      <w:pPr>
        <w:pStyle w:val="15"/>
        <w:spacing w:line="324" w:lineRule="auto"/>
        <w:ind w:left="0" w:leftChars="0" w:right="-48" w:rightChars="-22" w:firstLine="0" w:firstLineChars="0"/>
        <w:jc w:val="center"/>
        <w:rPr>
          <w:rFonts w:hint="eastAsia" w:ascii="方正小标宋简体" w:hAnsi="方正小标宋简体" w:eastAsia="方正小标宋简体" w:cs="方正小标宋简体"/>
          <w:sz w:val="52"/>
          <w:szCs w:val="52"/>
          <w:highlight w:val="none"/>
          <w:lang w:eastAsia="zh-CN"/>
        </w:rPr>
      </w:pPr>
      <w:r>
        <w:rPr>
          <w:rFonts w:hint="eastAsia" w:ascii="方正小标宋简体" w:hAnsi="方正小标宋简体" w:eastAsia="方正小标宋简体" w:cs="方正小标宋简体"/>
          <w:sz w:val="52"/>
          <w:szCs w:val="52"/>
          <w:highlight w:val="none"/>
          <w:lang w:eastAsia="zh-CN"/>
        </w:rPr>
        <w:t>（</w:t>
      </w:r>
      <w:r>
        <w:rPr>
          <w:rFonts w:hint="eastAsia" w:ascii="方正小标宋简体" w:hAnsi="方正小标宋简体" w:eastAsia="方正小标宋简体" w:cs="方正小标宋简体"/>
          <w:sz w:val="52"/>
          <w:szCs w:val="52"/>
          <w:highlight w:val="none"/>
        </w:rPr>
        <w:t>征求意见稿</w:t>
      </w:r>
      <w:r>
        <w:rPr>
          <w:rFonts w:hint="eastAsia" w:ascii="方正小标宋简体" w:hAnsi="方正小标宋简体" w:eastAsia="方正小标宋简体" w:cs="方正小标宋简体"/>
          <w:sz w:val="52"/>
          <w:szCs w:val="52"/>
          <w:highlight w:val="none"/>
          <w:lang w:eastAsia="zh-CN"/>
        </w:rPr>
        <w:t>）</w:t>
      </w:r>
      <w:bookmarkStart w:id="219" w:name="_GoBack"/>
      <w:bookmarkEnd w:id="219"/>
    </w:p>
    <w:p>
      <w:pPr>
        <w:widowControl/>
        <w:autoSpaceDE/>
        <w:autoSpaceDN/>
        <w:spacing w:before="762" w:line="560" w:lineRule="exact"/>
        <w:ind w:right="-48" w:rightChars="-22"/>
        <w:jc w:val="center"/>
        <w:outlineLvl w:val="9"/>
        <w:rPr>
          <w:rFonts w:ascii="楷体"/>
          <w:sz w:val="44"/>
          <w:highlight w:val="none"/>
        </w:rPr>
      </w:pPr>
    </w:p>
    <w:p>
      <w:pPr>
        <w:pStyle w:val="8"/>
        <w:spacing w:before="12"/>
        <w:ind w:right="508" w:rightChars="231"/>
        <w:rPr>
          <w:rFonts w:ascii="楷体"/>
          <w:sz w:val="44"/>
          <w:highlight w:val="none"/>
        </w:rPr>
      </w:pPr>
    </w:p>
    <w:p>
      <w:pPr>
        <w:pStyle w:val="8"/>
        <w:spacing w:before="12"/>
        <w:ind w:right="508" w:rightChars="231"/>
        <w:rPr>
          <w:rFonts w:ascii="楷体"/>
          <w:sz w:val="44"/>
          <w:highlight w:val="none"/>
        </w:rPr>
      </w:pPr>
    </w:p>
    <w:p>
      <w:pPr>
        <w:pStyle w:val="8"/>
        <w:spacing w:before="12"/>
        <w:ind w:right="508" w:rightChars="231"/>
        <w:rPr>
          <w:rFonts w:ascii="楷体"/>
          <w:sz w:val="44"/>
          <w:highlight w:val="none"/>
        </w:rPr>
      </w:pPr>
    </w:p>
    <w:p>
      <w:pPr>
        <w:pStyle w:val="8"/>
        <w:spacing w:before="12"/>
        <w:ind w:right="508" w:rightChars="231"/>
        <w:rPr>
          <w:rFonts w:ascii="楷体"/>
          <w:sz w:val="44"/>
          <w:highlight w:val="none"/>
        </w:rPr>
      </w:pPr>
    </w:p>
    <w:p>
      <w:pPr>
        <w:pStyle w:val="8"/>
        <w:spacing w:before="12"/>
        <w:ind w:right="508" w:rightChars="231"/>
        <w:rPr>
          <w:rFonts w:ascii="楷体"/>
          <w:sz w:val="44"/>
          <w:highlight w:val="none"/>
        </w:rPr>
      </w:pPr>
    </w:p>
    <w:p>
      <w:pPr>
        <w:pStyle w:val="8"/>
        <w:spacing w:before="12"/>
        <w:ind w:right="508" w:rightChars="231"/>
        <w:rPr>
          <w:rFonts w:ascii="楷体"/>
          <w:sz w:val="44"/>
          <w:highlight w:val="none"/>
        </w:rPr>
      </w:pPr>
    </w:p>
    <w:p>
      <w:pPr>
        <w:pStyle w:val="8"/>
        <w:spacing w:before="12"/>
        <w:ind w:right="508" w:rightChars="231"/>
        <w:rPr>
          <w:rFonts w:ascii="楷体"/>
          <w:sz w:val="44"/>
          <w:highlight w:val="none"/>
        </w:rPr>
      </w:pP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right="-48" w:rightChars="-22"/>
        <w:jc w:val="center"/>
        <w:textAlignment w:val="auto"/>
        <w:outlineLvl w:val="9"/>
        <w:rPr>
          <w:rFonts w:hint="eastAsia" w:ascii="仿宋_GB2312" w:hAnsi="仿宋_GB2312" w:eastAsia="仿宋_GB2312" w:cs="仿宋_GB2312"/>
          <w:b w:val="0"/>
          <w:bCs w:val="0"/>
          <w:i w:val="0"/>
          <w:caps w:val="0"/>
          <w:color w:val="333333"/>
          <w:spacing w:val="0"/>
          <w:w w:val="95"/>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333333"/>
          <w:spacing w:val="0"/>
          <w:w w:val="95"/>
          <w:kern w:val="0"/>
          <w:sz w:val="32"/>
          <w:szCs w:val="32"/>
          <w:highlight w:val="none"/>
          <w:shd w:val="clear" w:color="auto" w:fill="FFFFFF"/>
          <w:lang w:val="en-US" w:eastAsia="zh-CN" w:bidi="ar"/>
        </w:rPr>
        <w:t>一次性使用输尿管导引鞘、一次性使用阴道扩张器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right="-48" w:rightChars="-22"/>
        <w:jc w:val="center"/>
        <w:textAlignment w:val="auto"/>
        <w:outlineLvl w:val="9"/>
        <w:rPr>
          <w:rFonts w:hint="eastAsia" w:ascii="仿宋_GB2312" w:hAnsi="仿宋_GB2312" w:eastAsia="仿宋_GB2312" w:cs="仿宋_GB2312"/>
          <w:b w:val="0"/>
          <w:bCs w:val="0"/>
          <w:i w:val="0"/>
          <w:caps w:val="0"/>
          <w:color w:val="333333"/>
          <w:spacing w:val="0"/>
          <w:w w:val="95"/>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333333"/>
          <w:spacing w:val="0"/>
          <w:w w:val="95"/>
          <w:kern w:val="0"/>
          <w:sz w:val="32"/>
          <w:szCs w:val="32"/>
          <w:highlight w:val="none"/>
          <w:shd w:val="clear" w:color="auto" w:fill="FFFFFF"/>
          <w:lang w:val="en-US" w:eastAsia="zh-CN" w:bidi="ar"/>
        </w:rPr>
        <w:t>全省性联盟集采领导小组办公室</w:t>
      </w:r>
    </w:p>
    <w:p>
      <w:pPr>
        <w:widowControl/>
        <w:spacing w:before="0" w:line="600" w:lineRule="atLeast"/>
        <w:ind w:left="0" w:right="-48" w:rightChars="-22" w:firstLine="0"/>
        <w:jc w:val="center"/>
        <w:rPr>
          <w:rFonts w:hint="eastAsia" w:ascii="仿宋_GB2312" w:hAnsi="仿宋_GB2312" w:eastAsia="仿宋_GB2312" w:cs="仿宋_GB2312"/>
          <w:b w:val="0"/>
          <w:bCs w:val="0"/>
          <w:sz w:val="32"/>
          <w:szCs w:val="32"/>
          <w:highlight w:val="none"/>
        </w:rPr>
        <w:sectPr>
          <w:footerReference r:id="rId7" w:type="first"/>
          <w:headerReference r:id="rId5" w:type="default"/>
          <w:footerReference r:id="rId6" w:type="default"/>
          <w:pgSz w:w="11910" w:h="16840"/>
          <w:pgMar w:top="1440" w:right="1800" w:bottom="1440" w:left="1800" w:header="1145" w:footer="1276" w:gutter="0"/>
          <w:pgBorders>
            <w:top w:val="none" w:sz="0" w:space="0"/>
            <w:left w:val="none" w:sz="0" w:space="0"/>
            <w:bottom w:val="none" w:sz="0" w:space="0"/>
            <w:right w:val="none" w:sz="0" w:space="0"/>
          </w:pgBorders>
          <w:pgNumType w:fmt="decimal"/>
          <w:cols w:space="720" w:num="1"/>
          <w:titlePg/>
        </w:sectPr>
      </w:pPr>
      <w:r>
        <w:rPr>
          <w:rFonts w:hint="eastAsia" w:ascii="仿宋_GB2312" w:hAnsi="仿宋_GB2312" w:eastAsia="仿宋_GB2312" w:cs="仿宋_GB2312"/>
          <w:b w:val="0"/>
          <w:bCs w:val="0"/>
          <w:color w:val="333333"/>
          <w:sz w:val="32"/>
          <w:szCs w:val="32"/>
          <w:highlight w:val="none"/>
          <w:shd w:val="clear" w:color="auto" w:fill="FFFFFF"/>
          <w:lang w:bidi="ar"/>
        </w:rPr>
        <w:t>202</w:t>
      </w:r>
      <w:r>
        <w:rPr>
          <w:rFonts w:hint="eastAsia" w:ascii="仿宋_GB2312" w:hAnsi="仿宋_GB2312" w:eastAsia="仿宋_GB2312" w:cs="仿宋_GB2312"/>
          <w:b w:val="0"/>
          <w:bCs w:val="0"/>
          <w:color w:val="333333"/>
          <w:sz w:val="32"/>
          <w:szCs w:val="32"/>
          <w:highlight w:val="none"/>
          <w:shd w:val="clear" w:color="auto" w:fill="FFFFFF"/>
          <w:lang w:val="en-US" w:eastAsia="zh-CN" w:bidi="ar"/>
        </w:rPr>
        <w:t>5</w:t>
      </w:r>
      <w:r>
        <w:rPr>
          <w:rFonts w:hint="eastAsia" w:ascii="仿宋_GB2312" w:hAnsi="仿宋_GB2312" w:eastAsia="仿宋_GB2312" w:cs="仿宋_GB2312"/>
          <w:b w:val="0"/>
          <w:bCs w:val="0"/>
          <w:color w:val="333333"/>
          <w:spacing w:val="0"/>
          <w:sz w:val="32"/>
          <w:szCs w:val="32"/>
          <w:highlight w:val="none"/>
          <w:shd w:val="clear" w:color="auto" w:fill="FFFFFF"/>
          <w:lang w:bidi="ar"/>
        </w:rPr>
        <w:t>年</w:t>
      </w:r>
      <w:r>
        <w:rPr>
          <w:rFonts w:hint="eastAsia" w:ascii="仿宋_GB2312" w:hAnsi="仿宋_GB2312" w:eastAsia="仿宋_GB2312" w:cs="仿宋_GB2312"/>
          <w:b w:val="0"/>
          <w:bCs w:val="0"/>
          <w:color w:val="333333"/>
          <w:spacing w:val="0"/>
          <w:sz w:val="32"/>
          <w:szCs w:val="32"/>
          <w:highlight w:val="none"/>
          <w:shd w:val="clear" w:color="auto" w:fill="FFFFFF"/>
          <w:lang w:val="en-US" w:eastAsia="zh-CN" w:bidi="ar"/>
        </w:rPr>
        <w:t>9</w:t>
      </w:r>
      <w:r>
        <w:rPr>
          <w:rFonts w:hint="eastAsia" w:ascii="仿宋_GB2312" w:hAnsi="仿宋_GB2312" w:eastAsia="仿宋_GB2312" w:cs="仿宋_GB2312"/>
          <w:b w:val="0"/>
          <w:bCs w:val="0"/>
          <w:color w:val="333333"/>
          <w:spacing w:val="0"/>
          <w:sz w:val="32"/>
          <w:szCs w:val="32"/>
          <w:highlight w:val="none"/>
          <w:shd w:val="clear" w:color="auto" w:fill="FFFFFF"/>
          <w:lang w:bidi="ar"/>
        </w:rPr>
        <w:t>月</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240" w:lineRule="auto"/>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目</w:t>
      </w:r>
      <w:r>
        <w:rPr>
          <w:rFonts w:hint="eastAsia" w:ascii="方正小标宋简体" w:hAnsi="方正小标宋简体" w:eastAsia="方正小标宋简体" w:cs="方正小标宋简体"/>
          <w:b w:val="0"/>
          <w:bCs w:val="0"/>
          <w:sz w:val="44"/>
          <w:szCs w:val="44"/>
          <w:highlight w:val="none"/>
          <w:lang w:val="en-US" w:eastAsia="zh-CN"/>
        </w:rPr>
        <w:t xml:space="preserve">   </w:t>
      </w:r>
      <w:r>
        <w:rPr>
          <w:rFonts w:hint="eastAsia" w:ascii="方正小标宋简体" w:hAnsi="方正小标宋简体" w:eastAsia="方正小标宋简体" w:cs="方正小标宋简体"/>
          <w:b w:val="0"/>
          <w:bCs w:val="0"/>
          <w:sz w:val="44"/>
          <w:szCs w:val="44"/>
          <w:highlight w:val="none"/>
        </w:rPr>
        <w:t>录</w:t>
      </w:r>
    </w:p>
    <w:p>
      <w:pPr>
        <w:pStyle w:val="12"/>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_Toc20930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val="en-US" w:eastAsia="zh-CN" w:bidi="ar-SA"/>
        </w:rPr>
        <w:t>第一部分 采购邀请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_Toc20930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_Toc5909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一、</w:t>
      </w:r>
      <w:r>
        <w:rPr>
          <w:rFonts w:hint="eastAsia" w:ascii="仿宋_GB2312" w:hAnsi="仿宋_GB2312" w:eastAsia="仿宋_GB2312" w:cs="仿宋_GB2312"/>
          <w:bCs w:val="0"/>
          <w:sz w:val="32"/>
          <w:szCs w:val="32"/>
          <w:highlight w:val="none"/>
        </w:rPr>
        <w:t>信息公告获取方式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_Toc5909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_Toc3269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二、采购品种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_Toc3269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_Toc9386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三、采购需求量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_Toc9386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四、申报资格</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_Toc21586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_Toc30916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sz w:val="32"/>
          <w:szCs w:val="32"/>
          <w:highlight w:val="none"/>
          <w:lang w:val="en-US" w:eastAsia="zh-CN" w:bidi="ar-SA"/>
        </w:rPr>
        <w:t>（一）资质要求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_Toc30916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_Toc25825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sz w:val="32"/>
          <w:szCs w:val="32"/>
          <w:highlight w:val="none"/>
          <w:lang w:val="en-US" w:eastAsia="zh-CN" w:bidi="ar-SA"/>
        </w:rPr>
        <w:t>（二）其他要求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_Toc25825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_Toc31004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五、采购执行说明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_Toc31004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_Toc17379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六、采购周期与采购协议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_Toc17379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_Toc22935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七、申报方式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_Toc22935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_Toc20757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八、工作流程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_Toc20757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_Toc12475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九、联系方式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_Toc12475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13"/>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_Toc12190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rPr>
        <w:t xml:space="preserve">第二部分 </w:t>
      </w:r>
      <w:r>
        <w:rPr>
          <w:rFonts w:hint="eastAsia" w:ascii="仿宋_GB2312" w:hAnsi="仿宋_GB2312" w:eastAsia="仿宋_GB2312" w:cs="仿宋_GB2312"/>
          <w:sz w:val="32"/>
          <w:szCs w:val="32"/>
          <w:highlight w:val="none"/>
        </w:rPr>
        <w:t>申报企业须知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_Toc12190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_Toc18660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一、申报材料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_Toc18660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_Toc11504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sz w:val="32"/>
          <w:szCs w:val="32"/>
          <w:highlight w:val="none"/>
          <w:lang w:val="en-US" w:eastAsia="zh-CN" w:bidi="ar-SA"/>
        </w:rPr>
        <w:t>（一）申报企业资质材料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_Toc11504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_Toc23586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sz w:val="32"/>
          <w:szCs w:val="32"/>
          <w:highlight w:val="none"/>
          <w:lang w:val="en-US" w:eastAsia="zh-CN" w:bidi="ar-SA"/>
        </w:rPr>
        <w:t>（二）申报产品及产品资质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_Toc23586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_Toc15289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sz w:val="32"/>
          <w:szCs w:val="32"/>
          <w:highlight w:val="none"/>
          <w:lang w:val="en-US" w:eastAsia="zh-CN" w:bidi="ar-SA"/>
        </w:rPr>
        <w:t>（三）项目报名资料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_Toc15289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_Toc6107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sz w:val="32"/>
          <w:szCs w:val="32"/>
          <w:highlight w:val="none"/>
          <w:lang w:val="en-US" w:eastAsia="zh-CN" w:bidi="ar-SA"/>
        </w:rPr>
        <w:t>（四）填报要求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_Toc6107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_Toc2930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二、</w:t>
      </w:r>
      <w:r>
        <w:rPr>
          <w:rFonts w:hint="eastAsia" w:ascii="仿宋_GB2312" w:hAnsi="仿宋_GB2312" w:eastAsia="仿宋_GB2312" w:cs="仿宋_GB2312"/>
          <w:bCs w:val="0"/>
          <w:sz w:val="32"/>
          <w:szCs w:val="32"/>
          <w:highlight w:val="none"/>
          <w:lang w:val="en-US" w:eastAsia="zh-CN"/>
        </w:rPr>
        <w:t>申报</w:t>
      </w:r>
      <w:r>
        <w:rPr>
          <w:rFonts w:hint="eastAsia" w:ascii="仿宋_GB2312" w:hAnsi="仿宋_GB2312" w:eastAsia="仿宋_GB2312" w:cs="仿宋_GB2312"/>
          <w:bCs w:val="0"/>
          <w:sz w:val="32"/>
          <w:szCs w:val="32"/>
          <w:highlight w:val="none"/>
          <w:lang w:eastAsia="zh-CN"/>
        </w:rPr>
        <w:t>报价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_Toc28327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三、中选规则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_Toc28327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_Toc18761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sz w:val="32"/>
          <w:szCs w:val="32"/>
          <w:highlight w:val="none"/>
          <w:lang w:val="en-US" w:eastAsia="zh-CN" w:bidi="ar-SA"/>
        </w:rPr>
        <w:t>（一）报价要求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_Toc18761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_Toc12812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sz w:val="32"/>
          <w:szCs w:val="32"/>
          <w:highlight w:val="none"/>
          <w:lang w:val="en-US" w:eastAsia="zh-CN" w:bidi="ar-SA"/>
        </w:rPr>
        <w:t>（二）拟中选及协议采购量确定规则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_Toc12812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_Toc15739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val="en-US" w:eastAsia="zh-CN" w:bidi="ar-SA"/>
        </w:rPr>
        <w:t>1.拟中选规则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_Toc15739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_Toc31479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val="en-US" w:eastAsia="zh-CN" w:bidi="ar-SA"/>
        </w:rPr>
        <w:t>2.拟中选结果公示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_Toc31479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_Toc20568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val="en-US" w:eastAsia="zh-CN" w:bidi="ar-SA"/>
        </w:rPr>
        <w:t>3.中选结果公布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_Toc20568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_Toc24362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val="en-US" w:eastAsia="zh-CN" w:bidi="ar-SA"/>
        </w:rPr>
        <w:t>4.协议采购量确定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_Toc24362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_Toc7300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val="en-US" w:eastAsia="zh-CN"/>
        </w:rPr>
        <w:t>四、采购与配送</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_Toc7300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_Toc8954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sz w:val="32"/>
          <w:szCs w:val="32"/>
          <w:highlight w:val="none"/>
          <w:lang w:val="en-US" w:eastAsia="zh-CN" w:bidi="ar-SA"/>
        </w:rPr>
        <w:t>（一）签订带量购销合同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_Toc8954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_Toc8248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sz w:val="32"/>
          <w:szCs w:val="32"/>
          <w:highlight w:val="none"/>
          <w:lang w:val="en-US" w:eastAsia="zh-CN" w:bidi="ar-SA"/>
        </w:rPr>
        <w:t>（二）医用耗材配送</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_Toc8248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_Toc21006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sz w:val="32"/>
          <w:szCs w:val="32"/>
          <w:highlight w:val="none"/>
          <w:lang w:val="en-US" w:eastAsia="zh-CN" w:bidi="ar-SA"/>
        </w:rPr>
        <w:t>（1）配套设施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_Toc21006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_Toc28045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sz w:val="32"/>
          <w:szCs w:val="32"/>
          <w:highlight w:val="none"/>
          <w:lang w:val="en-US" w:eastAsia="zh-CN" w:bidi="ar-SA"/>
        </w:rPr>
        <w:t>（2）伴随服务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_Toc28045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_Toc16125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五、货款结算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_Toc16125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_Toc31254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六、其他</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_Toc31254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pStyle w:val="13"/>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firstLine="0" w:firstLineChars="0"/>
        <w:jc w:val="left"/>
        <w:textAlignment w:val="auto"/>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_Toc10494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第三部分</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_Toc10494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rPr>
        <w:fldChar w:fldCharType="end"/>
      </w:r>
    </w:p>
    <w:p>
      <w:pPr>
        <w:keepNext w:val="0"/>
        <w:keepLines w:val="0"/>
        <w:pageBreakBefore w:val="0"/>
        <w:widowControl w:val="0"/>
        <w:kinsoku/>
        <w:wordWrap/>
        <w:overflowPunct/>
        <w:topLinePunct w:val="0"/>
        <w:autoSpaceDE w:val="0"/>
        <w:autoSpaceDN w:val="0"/>
        <w:bidi w:val="0"/>
        <w:adjustRightInd/>
        <w:snapToGrid/>
        <w:spacing w:before="0"/>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Cs w:val="32"/>
          <w:highlight w:val="none"/>
        </w:rPr>
        <w:fldChar w:fldCharType="end"/>
      </w:r>
    </w:p>
    <w:p>
      <w:pPr>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lang w:val="en-US" w:eastAsia="zh-CN" w:bidi="ar-SA"/>
        </w:rPr>
      </w:pPr>
      <w:bookmarkStart w:id="1" w:name="_Toc1471165196"/>
      <w:bookmarkStart w:id="2" w:name="_Toc411880969"/>
      <w:bookmarkStart w:id="3" w:name="_Toc318541765"/>
      <w:r>
        <w:rPr>
          <w:rFonts w:hint="eastAsia" w:ascii="仿宋_GB2312" w:hAnsi="仿宋_GB2312" w:eastAsia="仿宋_GB2312" w:cs="仿宋_GB2312"/>
          <w:sz w:val="32"/>
          <w:szCs w:val="32"/>
          <w:highlight w:val="none"/>
          <w:lang w:val="en-US" w:eastAsia="zh-CN" w:bidi="ar-SA"/>
        </w:rPr>
        <w:br w:type="page"/>
      </w:r>
    </w:p>
    <w:p>
      <w:pPr>
        <w:pStyle w:val="13"/>
        <w:keepNext w:val="0"/>
        <w:keepLines w:val="0"/>
        <w:pageBreakBefore w:val="0"/>
        <w:widowControl w:val="0"/>
        <w:tabs>
          <w:tab w:val="right" w:leader="dot" w:pos="8905"/>
        </w:tabs>
        <w:kinsoku/>
        <w:wordWrap/>
        <w:overflowPunct/>
        <w:topLinePunct w:val="0"/>
        <w:autoSpaceDE w:val="0"/>
        <w:autoSpaceDN w:val="0"/>
        <w:bidi w:val="0"/>
        <w:adjustRightInd/>
        <w:snapToGrid/>
        <w:spacing w:before="0"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z w:val="44"/>
          <w:szCs w:val="44"/>
          <w:highlight w:val="none"/>
          <w:lang w:val="en-US" w:eastAsia="zh-CN" w:bidi="ar-SA"/>
        </w:rPr>
      </w:pPr>
      <w:bookmarkStart w:id="4" w:name="_Toc20930"/>
      <w:bookmarkStart w:id="5" w:name="_Toc681541396"/>
      <w:bookmarkStart w:id="6" w:name="_Toc375725091"/>
      <w:r>
        <w:rPr>
          <w:rFonts w:hint="eastAsia" w:ascii="方正小标宋简体" w:hAnsi="方正小标宋简体" w:eastAsia="方正小标宋简体" w:cs="方正小标宋简体"/>
          <w:sz w:val="44"/>
          <w:szCs w:val="44"/>
          <w:highlight w:val="none"/>
          <w:lang w:val="en-US" w:eastAsia="zh-CN" w:bidi="ar-SA"/>
        </w:rPr>
        <w:t>第一部分 采购邀请</w:t>
      </w:r>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0" w:firstLineChars="0"/>
        <w:jc w:val="center"/>
        <w:textAlignment w:val="auto"/>
        <w:rPr>
          <w:rFonts w:hint="eastAsia" w:ascii="仿宋_GB2312" w:hAnsi="仿宋_GB2312" w:eastAsia="仿宋_GB2312" w:cs="仿宋_GB2312"/>
          <w:highlight w:val="none"/>
        </w:rPr>
      </w:pPr>
      <w:bookmarkStart w:id="7" w:name="_TOC_250002"/>
      <w:bookmarkEnd w:id="7"/>
      <w:bookmarkStart w:id="8" w:name="_Toc1332082820"/>
      <w:bookmarkStart w:id="9" w:name="_Toc835204565"/>
      <w:r>
        <w:rPr>
          <w:rFonts w:hint="eastAsia" w:ascii="黑体" w:hAnsi="黑体" w:eastAsia="黑体" w:cs="黑体"/>
          <w:color w:val="000000"/>
          <w:spacing w:val="-6"/>
          <w:kern w:val="0"/>
          <w:sz w:val="32"/>
          <w:szCs w:val="32"/>
          <w:highlight w:val="none"/>
          <w:lang w:val="en-US" w:eastAsia="zh-CN" w:bidi="ar"/>
        </w:rPr>
        <w:t>一次性使用阴道扩张器邀请函</w:t>
      </w:r>
      <w:bookmarkEnd w:id="8"/>
      <w:bookmarkEnd w:id="9"/>
    </w:p>
    <w:p>
      <w:pPr>
        <w:pStyle w:val="8"/>
        <w:keepNext w:val="0"/>
        <w:keepLines w:val="0"/>
        <w:pageBreakBefore w:val="0"/>
        <w:widowControl w:val="0"/>
        <w:kinsoku/>
        <w:wordWrap/>
        <w:overflowPunct/>
        <w:topLinePunct w:val="0"/>
        <w:bidi w:val="0"/>
        <w:adjustRightInd w:val="0"/>
        <w:snapToGrid/>
        <w:spacing w:before="0" w:line="560" w:lineRule="exact"/>
        <w:ind w:left="0" w:right="0" w:rightChars="0" w:firstLine="0" w:firstLineChars="0"/>
        <w:jc w:val="center"/>
        <w:textAlignment w:val="auto"/>
        <w:rPr>
          <w:rFonts w:hint="eastAsia" w:ascii="仿宋_GB2312" w:hAnsi="仿宋_GB2312" w:eastAsia="仿宋_GB2312" w:cs="仿宋_GB2312"/>
          <w:highlight w:val="none"/>
          <w:lang w:val="en-US" w:eastAsia="zh-CN"/>
        </w:rPr>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right="0" w:rightChars="0"/>
        <w:textAlignment w:val="auto"/>
        <w:rPr>
          <w:rFonts w:hint="eastAsia" w:ascii="仿宋_GB2312" w:hAnsi="仿宋_GB2312" w:eastAsia="仿宋_GB2312" w:cs="仿宋_GB2312"/>
          <w:spacing w:val="-1"/>
          <w:sz w:val="32"/>
          <w:szCs w:val="32"/>
          <w:highlight w:val="none"/>
          <w:lang w:val="en-US" w:eastAsia="zh-CN" w:bidi="ar-SA"/>
        </w:rPr>
      </w:pPr>
      <w:r>
        <w:rPr>
          <w:rFonts w:hint="eastAsia" w:ascii="仿宋_GB2312" w:hAnsi="仿宋_GB2312" w:eastAsia="仿宋_GB2312" w:cs="仿宋_GB2312"/>
          <w:spacing w:val="-1"/>
          <w:sz w:val="32"/>
          <w:szCs w:val="32"/>
          <w:highlight w:val="none"/>
          <w:lang w:val="en-US" w:eastAsia="zh-CN" w:bidi="ar-SA"/>
        </w:rPr>
        <w:t>各相关企业：</w:t>
      </w:r>
    </w:p>
    <w:p>
      <w:pPr>
        <w:pStyle w:val="14"/>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rightChars="0" w:firstLine="640" w:firstLineChars="200"/>
        <w:jc w:val="both"/>
        <w:textAlignment w:val="auto"/>
        <w:rPr>
          <w:rFonts w:ascii="等线" w:hAnsi="等线" w:eastAsia="等线" w:cs="等线"/>
          <w:sz w:val="24"/>
          <w:szCs w:val="24"/>
          <w:highlight w:val="none"/>
        </w:rPr>
      </w:pPr>
      <w:bookmarkStart w:id="10" w:name="一、信息公告获取方式"/>
      <w:bookmarkEnd w:id="10"/>
      <w:bookmarkStart w:id="11" w:name="_Toc393270333"/>
      <w:bookmarkStart w:id="12" w:name="_Toc1209682257"/>
      <w:bookmarkStart w:id="13" w:name="_Toc2138794942"/>
      <w:bookmarkStart w:id="14" w:name="_Toc1837768310"/>
      <w:r>
        <w:rPr>
          <w:rFonts w:ascii="仿宋_GB2312" w:hAnsi="等线" w:eastAsia="仿宋_GB2312" w:cs="仿宋_GB2312"/>
          <w:b w:val="0"/>
          <w:bCs w:val="0"/>
          <w:i w:val="0"/>
          <w:iCs w:val="0"/>
          <w:caps w:val="0"/>
          <w:color w:val="000000"/>
          <w:spacing w:val="0"/>
          <w:sz w:val="32"/>
          <w:szCs w:val="32"/>
          <w:highlight w:val="none"/>
          <w:vertAlign w:val="baseline"/>
        </w:rPr>
        <w:t>为认真贯彻落实</w:t>
      </w:r>
      <w:r>
        <w:rPr>
          <w:rFonts w:hint="eastAsia" w:ascii="仿宋_GB2312" w:hAnsi="等线" w:eastAsia="仿宋_GB2312" w:cs="仿宋_GB2312"/>
          <w:b w:val="0"/>
          <w:bCs w:val="0"/>
          <w:i w:val="0"/>
          <w:iCs w:val="0"/>
          <w:caps w:val="0"/>
          <w:color w:val="000000"/>
          <w:spacing w:val="0"/>
          <w:sz w:val="32"/>
          <w:szCs w:val="32"/>
          <w:highlight w:val="none"/>
          <w:vertAlign w:val="baseline"/>
        </w:rPr>
        <w:t>《福建省医疗保障局关于印发2025年全省医疗保障工作要点的通知》（闽医保〔2025〕9号）文件精神，切实</w:t>
      </w:r>
      <w:r>
        <w:rPr>
          <w:rFonts w:hint="eastAsia" w:ascii="仿宋_GB2312" w:hAnsi="等线" w:eastAsia="仿宋_GB2312" w:cs="仿宋_GB2312"/>
          <w:b w:val="0"/>
          <w:bCs w:val="0"/>
          <w:i w:val="0"/>
          <w:iCs w:val="0"/>
          <w:caps w:val="0"/>
          <w:color w:val="000000"/>
          <w:spacing w:val="-2"/>
          <w:sz w:val="32"/>
          <w:szCs w:val="32"/>
          <w:highlight w:val="none"/>
          <w:vertAlign w:val="baseline"/>
        </w:rPr>
        <w:t>保障临床需求，降低医用耗材采购价格，规范医疗服务行为，维护人民群众健康权益，</w:t>
      </w:r>
      <w:r>
        <w:rPr>
          <w:rFonts w:hint="eastAsia" w:ascii="仿宋_GB2312" w:hAnsi="等线" w:eastAsia="仿宋_GB2312" w:cs="仿宋_GB2312"/>
          <w:b w:val="0"/>
          <w:bCs w:val="0"/>
          <w:i w:val="0"/>
          <w:iCs w:val="0"/>
          <w:caps w:val="0"/>
          <w:color w:val="000000"/>
          <w:spacing w:val="0"/>
          <w:sz w:val="32"/>
          <w:szCs w:val="32"/>
          <w:highlight w:val="none"/>
          <w:vertAlign w:val="baseline"/>
        </w:rPr>
        <w:t>全省相关地市组成采购联盟，代表各地区公立医疗机构（含军队医疗机构）及自愿参加的医保定点社会办医疗机构等，开展一次性使用阴道扩张器全省性联盟集中带量采购（具体参与情况详见附件1），现邀请符合条件的企业积极申报。</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1"/>
        <w:rPr>
          <w:rFonts w:hint="eastAsia" w:ascii="黑体" w:hAnsi="黑体" w:eastAsia="黑体" w:cs="黑体"/>
          <w:b w:val="0"/>
          <w:bCs w:val="0"/>
          <w:highlight w:val="none"/>
        </w:rPr>
      </w:pPr>
      <w:bookmarkStart w:id="15" w:name="_Toc2135953121"/>
      <w:bookmarkStart w:id="16" w:name="_Toc5909"/>
      <w:r>
        <w:rPr>
          <w:rFonts w:hint="eastAsia" w:ascii="黑体" w:hAnsi="黑体" w:eastAsia="黑体" w:cs="黑体"/>
          <w:b w:val="0"/>
          <w:bCs w:val="0"/>
          <w:highlight w:val="none"/>
          <w:lang w:eastAsia="zh-CN"/>
        </w:rPr>
        <w:t>一、</w:t>
      </w:r>
      <w:r>
        <w:rPr>
          <w:rFonts w:hint="eastAsia" w:ascii="黑体" w:hAnsi="黑体" w:eastAsia="黑体" w:cs="黑体"/>
          <w:b w:val="0"/>
          <w:bCs w:val="0"/>
          <w:highlight w:val="none"/>
        </w:rPr>
        <w:t>信息公告获取方式</w:t>
      </w:r>
      <w:bookmarkEnd w:id="11"/>
      <w:bookmarkEnd w:id="12"/>
      <w:bookmarkEnd w:id="13"/>
      <w:bookmarkEnd w:id="14"/>
      <w:bookmarkEnd w:id="15"/>
      <w:bookmarkEnd w:id="16"/>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bidi="ar-SA"/>
        </w:rPr>
      </w:pPr>
      <w:r>
        <w:rPr>
          <w:rFonts w:hint="eastAsia" w:ascii="仿宋_GB2312" w:hAnsi="仿宋_GB2312" w:eastAsia="仿宋_GB2312" w:cs="仿宋_GB2312"/>
          <w:spacing w:val="-1"/>
          <w:sz w:val="32"/>
          <w:szCs w:val="32"/>
          <w:highlight w:val="none"/>
          <w:lang w:val="en-US" w:eastAsia="zh-CN" w:bidi="ar-SA"/>
        </w:rPr>
        <w:t>一次性使用阴道扩张器全省性联盟集中带量采购工作（以下简称“联盟采购工作”）由一次性使用阴道扩张器全省性联盟集采领导小组办公室（以下简称“集采办”）开展，集采办设在泉州市医疗保障局，日常工作和具体实施由泉州市医疗保障局承担。</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bidi="ar-SA"/>
        </w:rPr>
      </w:pPr>
      <w:r>
        <w:rPr>
          <w:rFonts w:hint="eastAsia" w:ascii="仿宋_GB2312" w:hAnsi="仿宋_GB2312" w:eastAsia="仿宋_GB2312" w:cs="仿宋_GB2312"/>
          <w:spacing w:val="-1"/>
          <w:sz w:val="32"/>
          <w:szCs w:val="32"/>
          <w:highlight w:val="none"/>
          <w:lang w:val="en-US" w:eastAsia="zh-CN" w:bidi="ar-SA"/>
        </w:rPr>
        <w:t>联盟采购工作所有公告、信息通过泉州市医疗保障局官方网站（网址：https://qzybj.quanzhou.gov.cn/）“通知公告”模块及一次性使用阴道扩张器全省性联盟集中带量采购网址（https://fjzc.eliancloud.cn/tps-local/#/login</w:t>
      </w:r>
      <w:r>
        <w:rPr>
          <w:rFonts w:hint="eastAsia" w:ascii="仿宋_GB2312" w:hAnsi="仿宋_GB2312" w:eastAsia="仿宋_GB2312" w:cs="仿宋_GB2312"/>
          <w:color w:val="auto"/>
          <w:spacing w:val="-1"/>
          <w:sz w:val="32"/>
          <w:szCs w:val="32"/>
          <w:highlight w:val="none"/>
          <w:lang w:val="en-US" w:eastAsia="zh-CN" w:bidi="ar-SA"/>
        </w:rPr>
        <w:t>）</w:t>
      </w:r>
      <w:r>
        <w:rPr>
          <w:rFonts w:hint="eastAsia" w:ascii="仿宋_GB2312" w:hAnsi="仿宋_GB2312" w:eastAsia="仿宋_GB2312" w:cs="仿宋_GB2312"/>
          <w:spacing w:val="-1"/>
          <w:sz w:val="32"/>
          <w:szCs w:val="32"/>
          <w:highlight w:val="none"/>
          <w:lang w:val="en-US" w:eastAsia="zh-CN" w:bidi="ar-SA"/>
        </w:rPr>
        <w:t>（以下简称“联盟集采网址”）</w:t>
      </w:r>
      <w:r>
        <w:rPr>
          <w:rFonts w:hint="eastAsia" w:ascii="仿宋_GB2312" w:hAnsi="仿宋_GB2312" w:eastAsia="仿宋_GB2312" w:cs="仿宋_GB2312"/>
          <w:color w:val="auto"/>
          <w:spacing w:val="-1"/>
          <w:sz w:val="32"/>
          <w:szCs w:val="32"/>
          <w:highlight w:val="none"/>
          <w:lang w:val="en-US" w:eastAsia="zh-CN" w:bidi="ar-SA"/>
        </w:rPr>
        <w:t>发布。</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1"/>
        <w:rPr>
          <w:rFonts w:hint="eastAsia" w:ascii="黑体" w:hAnsi="黑体" w:eastAsia="黑体" w:cs="黑体"/>
          <w:b w:val="0"/>
          <w:bCs w:val="0"/>
          <w:highlight w:val="none"/>
          <w:lang w:eastAsia="zh-CN"/>
        </w:rPr>
      </w:pPr>
      <w:bookmarkStart w:id="17" w:name="二、采购品种及竞价单元"/>
      <w:bookmarkEnd w:id="17"/>
      <w:bookmarkStart w:id="18" w:name="_Toc100792151"/>
      <w:bookmarkStart w:id="19" w:name="_Toc902007250"/>
      <w:bookmarkStart w:id="20" w:name="_Toc1106248352"/>
      <w:bookmarkStart w:id="21" w:name="_Toc3269"/>
      <w:bookmarkStart w:id="22" w:name="_Toc45767915"/>
      <w:bookmarkStart w:id="23" w:name="_Toc1627461395"/>
      <w:r>
        <w:rPr>
          <w:rFonts w:hint="eastAsia" w:ascii="黑体" w:hAnsi="黑体" w:eastAsia="黑体" w:cs="黑体"/>
          <w:b w:val="0"/>
          <w:bCs w:val="0"/>
          <w:highlight w:val="none"/>
          <w:lang w:eastAsia="zh-CN"/>
        </w:rPr>
        <w:t>二、采购品种</w:t>
      </w:r>
      <w:bookmarkEnd w:id="18"/>
      <w:bookmarkEnd w:id="19"/>
      <w:bookmarkEnd w:id="20"/>
      <w:bookmarkEnd w:id="21"/>
      <w:bookmarkEnd w:id="22"/>
      <w:bookmarkEnd w:id="23"/>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bidi="ar-SA"/>
        </w:rPr>
      </w:pPr>
      <w:r>
        <w:rPr>
          <w:rFonts w:hint="eastAsia" w:ascii="仿宋_GB2312" w:hAnsi="仿宋_GB2312" w:eastAsia="仿宋_GB2312" w:cs="仿宋_GB2312"/>
          <w:spacing w:val="-1"/>
          <w:sz w:val="32"/>
          <w:szCs w:val="32"/>
          <w:highlight w:val="none"/>
          <w:lang w:val="en-US" w:eastAsia="zh-CN" w:bidi="ar-SA"/>
        </w:rPr>
        <w:t>本次联盟采购品种为一次性使用阴道扩张器（</w:t>
      </w:r>
      <w:r>
        <w:rPr>
          <w:rFonts w:hint="eastAsia" w:ascii="仿宋_GB2312" w:hAnsi="仿宋_GB2312" w:eastAsia="仿宋_GB2312" w:cs="仿宋_GB2312"/>
          <w:color w:val="auto"/>
          <w:kern w:val="0"/>
          <w:sz w:val="32"/>
          <w:szCs w:val="32"/>
          <w:highlight w:val="none"/>
          <w:shd w:val="clear" w:color="auto" w:fill="FFFFFF"/>
        </w:rPr>
        <w:t>国家医保局医保医用耗材编码前15位</w:t>
      </w:r>
      <w:r>
        <w:rPr>
          <w:rFonts w:hint="eastAsia" w:ascii="仿宋_GB2312" w:hAnsi="仿宋_GB2312" w:eastAsia="仿宋_GB2312" w:cs="仿宋_GB2312"/>
          <w:color w:val="auto"/>
          <w:spacing w:val="-1"/>
          <w:sz w:val="32"/>
          <w:szCs w:val="32"/>
          <w:highlight w:val="none"/>
          <w:lang w:val="en-US" w:eastAsia="zh-CN" w:bidi="ar-SA"/>
        </w:rPr>
        <w:t>包含但不限于</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spacing w:val="-1"/>
          <w:sz w:val="32"/>
          <w:szCs w:val="32"/>
          <w:highlight w:val="none"/>
          <w:lang w:val="en-US" w:eastAsia="zh-CN" w:bidi="ar-SA"/>
        </w:rPr>
        <w:t>C14020226900017）。</w:t>
      </w:r>
    </w:p>
    <w:p>
      <w:pPr>
        <w:pStyle w:val="21"/>
        <w:rPr>
          <w:rFonts w:hint="eastAsia" w:cs="方正仿宋简体"/>
          <w:spacing w:val="0"/>
          <w:sz w:val="24"/>
          <w:szCs w:val="24"/>
          <w:highlight w:val="none"/>
          <w:lang w:val="en-US" w:eastAsia="zh-CN" w:bidi="ar-SA"/>
        </w:rPr>
      </w:pP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34"/>
        <w:gridCol w:w="1624"/>
        <w:gridCol w:w="3502"/>
        <w:gridCol w:w="1182"/>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trPr>
        <w:tc>
          <w:tcPr>
            <w:tcW w:w="405" w:type="pct"/>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ascii="仿宋_GB2312" w:hAnsi="宋体" w:eastAsia="仿宋_GB2312" w:cs="仿宋_GB2312"/>
                <w:b/>
                <w:i w:val="0"/>
                <w:color w:val="auto"/>
                <w:sz w:val="28"/>
                <w:szCs w:val="28"/>
                <w:highlight w:val="none"/>
                <w:u w:val="none"/>
              </w:rPr>
            </w:pPr>
            <w:r>
              <w:rPr>
                <w:rFonts w:hint="default" w:ascii="仿宋_GB2312" w:hAnsi="宋体" w:eastAsia="仿宋_GB2312" w:cs="仿宋_GB2312"/>
                <w:b/>
                <w:i w:val="0"/>
                <w:color w:val="auto"/>
                <w:kern w:val="0"/>
                <w:sz w:val="28"/>
                <w:szCs w:val="28"/>
                <w:highlight w:val="none"/>
                <w:u w:val="none"/>
                <w:lang w:val="en-US" w:eastAsia="zh-CN" w:bidi="ar"/>
              </w:rPr>
              <w:t>序号</w:t>
            </w:r>
          </w:p>
        </w:tc>
        <w:tc>
          <w:tcPr>
            <w:tcW w:w="896" w:type="pct"/>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b/>
                <w:i w:val="0"/>
                <w:color w:val="auto"/>
                <w:sz w:val="28"/>
                <w:szCs w:val="28"/>
                <w:highlight w:val="none"/>
                <w:u w:val="none"/>
                <w:lang w:val="en-US"/>
              </w:rPr>
            </w:pPr>
            <w:r>
              <w:rPr>
                <w:rFonts w:hint="default" w:ascii="仿宋_GB2312" w:hAnsi="宋体" w:eastAsia="仿宋_GB2312" w:cs="仿宋_GB2312"/>
                <w:b/>
                <w:i w:val="0"/>
                <w:color w:val="auto"/>
                <w:kern w:val="0"/>
                <w:sz w:val="28"/>
                <w:szCs w:val="28"/>
                <w:highlight w:val="none"/>
                <w:u w:val="none"/>
                <w:lang w:val="en-US" w:eastAsia="zh-CN" w:bidi="ar"/>
              </w:rPr>
              <w:t>品种</w:t>
            </w:r>
          </w:p>
        </w:tc>
        <w:tc>
          <w:tcPr>
            <w:tcW w:w="1932" w:type="pct"/>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b/>
                <w:i w:val="0"/>
                <w:color w:val="auto"/>
                <w:sz w:val="28"/>
                <w:szCs w:val="28"/>
                <w:highlight w:val="none"/>
                <w:u w:val="none"/>
              </w:rPr>
            </w:pPr>
            <w:r>
              <w:rPr>
                <w:rFonts w:hint="default" w:ascii="仿宋_GB2312" w:hAnsi="宋体" w:eastAsia="仿宋_GB2312" w:cs="仿宋_GB2312"/>
                <w:b/>
                <w:i w:val="0"/>
                <w:color w:val="auto"/>
                <w:kern w:val="0"/>
                <w:sz w:val="28"/>
                <w:szCs w:val="28"/>
                <w:highlight w:val="none"/>
                <w:u w:val="none"/>
                <w:lang w:val="en-US" w:eastAsia="zh-CN" w:bidi="ar"/>
              </w:rPr>
              <w:t>临床技术要求</w:t>
            </w:r>
          </w:p>
        </w:tc>
        <w:tc>
          <w:tcPr>
            <w:tcW w:w="652" w:type="pct"/>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b/>
                <w:i w:val="0"/>
                <w:color w:val="auto"/>
                <w:kern w:val="0"/>
                <w:sz w:val="28"/>
                <w:szCs w:val="28"/>
                <w:highlight w:val="none"/>
                <w:u w:val="none"/>
                <w:lang w:val="en-US" w:eastAsia="zh-CN" w:bidi="ar"/>
              </w:rPr>
            </w:pPr>
            <w:r>
              <w:rPr>
                <w:rFonts w:hint="eastAsia" w:ascii="仿宋_GB2312" w:hAnsi="宋体" w:eastAsia="仿宋_GB2312" w:cs="仿宋_GB2312"/>
                <w:b/>
                <w:i w:val="0"/>
                <w:color w:val="auto"/>
                <w:kern w:val="0"/>
                <w:sz w:val="28"/>
                <w:szCs w:val="28"/>
                <w:highlight w:val="none"/>
                <w:u w:val="none"/>
                <w:lang w:val="en-US" w:eastAsia="zh-CN" w:bidi="ar"/>
              </w:rPr>
              <w:t>单位</w:t>
            </w:r>
          </w:p>
        </w:tc>
        <w:tc>
          <w:tcPr>
            <w:tcW w:w="1113" w:type="pct"/>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宋体" w:eastAsia="仿宋_GB2312" w:cs="仿宋_GB2312"/>
                <w:b/>
                <w:i w:val="0"/>
                <w:color w:val="C00000"/>
                <w:kern w:val="0"/>
                <w:sz w:val="28"/>
                <w:szCs w:val="28"/>
                <w:highlight w:val="none"/>
                <w:u w:val="none"/>
                <w:lang w:val="en-US" w:eastAsia="zh-CN" w:bidi="ar"/>
              </w:rPr>
            </w:pPr>
            <w:r>
              <w:rPr>
                <w:rFonts w:hint="eastAsia" w:ascii="仿宋_GB2312" w:hAnsi="宋体" w:eastAsia="仿宋_GB2312" w:cs="仿宋_GB2312"/>
                <w:b/>
                <w:i w:val="0"/>
                <w:color w:val="auto"/>
                <w:kern w:val="0"/>
                <w:sz w:val="28"/>
                <w:szCs w:val="28"/>
                <w:highlight w:val="none"/>
                <w:u w:val="none"/>
                <w:lang w:val="en-US" w:eastAsia="zh-CN" w:bidi="ar"/>
              </w:rPr>
              <w:t>需求量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exact"/>
        </w:trPr>
        <w:tc>
          <w:tcPr>
            <w:tcW w:w="405" w:type="pct"/>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w:t>
            </w:r>
          </w:p>
        </w:tc>
        <w:tc>
          <w:tcPr>
            <w:tcW w:w="896" w:type="pct"/>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仿宋_GB2312" w:hAnsi="仿宋_GB2312" w:eastAsia="仿宋_GB2312" w:cs="仿宋_GB2312"/>
                <w:spacing w:val="-1"/>
                <w:sz w:val="32"/>
                <w:szCs w:val="32"/>
                <w:highlight w:val="none"/>
                <w:lang w:val="en-US" w:eastAsia="zh-CN" w:bidi="ar-SA"/>
              </w:rPr>
              <w:t>一次性使用阴道扩张器</w:t>
            </w:r>
          </w:p>
        </w:tc>
        <w:tc>
          <w:tcPr>
            <w:tcW w:w="1932" w:type="pct"/>
            <w:shd w:val="clear" w:color="auto" w:fill="auto"/>
            <w:vAlign w:val="center"/>
          </w:tcPr>
          <w:p>
            <w:pPr>
              <w:pStyle w:val="6"/>
              <w:jc w:val="center"/>
              <w:rPr>
                <w:rFonts w:hint="default"/>
                <w:highlight w:val="none"/>
                <w:lang w:val="en-US" w:eastAsia="zh-CN"/>
              </w:rPr>
            </w:pPr>
            <w:r>
              <w:rPr>
                <w:rFonts w:hint="eastAsia" w:ascii="仿宋_GB2312" w:hAnsi="Calibri" w:eastAsia="仿宋_GB2312" w:cs="仿宋_GB2312"/>
                <w:b w:val="0"/>
                <w:i w:val="0"/>
                <w:caps w:val="0"/>
                <w:color w:val="333333"/>
                <w:spacing w:val="0"/>
                <w:kern w:val="0"/>
                <w:sz w:val="32"/>
                <w:szCs w:val="32"/>
                <w:highlight w:val="none"/>
                <w:shd w:val="clear" w:color="auto" w:fill="FFFFFF"/>
                <w:lang w:val="en-US" w:eastAsia="zh-CN" w:bidi="ar"/>
              </w:rPr>
              <w:t>包含手术型和检查型（荧光型除外），可根据临床需求提供不同规格需求的产品。</w:t>
            </w:r>
          </w:p>
        </w:tc>
        <w:tc>
          <w:tcPr>
            <w:tcW w:w="652" w:type="pct"/>
            <w:shd w:val="clear" w:color="auto" w:fill="auto"/>
            <w:vAlign w:val="center"/>
          </w:tcPr>
          <w:p>
            <w:pPr>
              <w:pStyle w:val="6"/>
              <w:jc w:val="center"/>
              <w:rPr>
                <w:rFonts w:hint="default" w:ascii="仿宋" w:hAnsi="仿宋" w:eastAsia="仿宋" w:cs="宋体"/>
                <w:color w:val="000000"/>
                <w:kern w:val="0"/>
                <w:sz w:val="24"/>
                <w:szCs w:val="24"/>
                <w:highlight w:val="none"/>
                <w:lang w:val="en-US" w:eastAsia="zh-CN"/>
              </w:rPr>
            </w:pPr>
            <w:r>
              <w:rPr>
                <w:rFonts w:hint="eastAsia" w:ascii="仿宋" w:hAnsi="仿宋" w:cs="宋体"/>
                <w:color w:val="000000"/>
                <w:kern w:val="0"/>
                <w:sz w:val="24"/>
                <w:szCs w:val="24"/>
                <w:highlight w:val="none"/>
                <w:lang w:val="en-US" w:eastAsia="zh-CN"/>
              </w:rPr>
              <w:t>个</w:t>
            </w:r>
          </w:p>
        </w:tc>
        <w:tc>
          <w:tcPr>
            <w:tcW w:w="1113" w:type="pct"/>
            <w:shd w:val="clear" w:color="auto" w:fill="auto"/>
            <w:vAlign w:val="center"/>
          </w:tcPr>
          <w:p>
            <w:pPr>
              <w:pStyle w:val="6"/>
              <w:rPr>
                <w:rFonts w:hint="default" w:ascii="仿宋" w:hAnsi="仿宋" w:eastAsia="仿宋" w:cs="宋体"/>
                <w:color w:val="000000"/>
                <w:kern w:val="0"/>
                <w:sz w:val="24"/>
                <w:szCs w:val="24"/>
                <w:highlight w:val="none"/>
                <w:lang w:val="en" w:eastAsia="zh-CN"/>
              </w:rPr>
            </w:pPr>
          </w:p>
        </w:tc>
      </w:tr>
    </w:tbl>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rightChars="0" w:firstLine="640" w:firstLineChars="200"/>
        <w:textAlignment w:val="auto"/>
        <w:outlineLvl w:val="1"/>
        <w:rPr>
          <w:rFonts w:hint="eastAsia" w:ascii="黑体" w:hAnsi="黑体" w:eastAsia="黑体" w:cs="黑体"/>
          <w:b w:val="0"/>
          <w:bCs w:val="0"/>
          <w:highlight w:val="none"/>
          <w:lang w:eastAsia="zh-CN"/>
        </w:rPr>
      </w:pPr>
      <w:bookmarkStart w:id="24" w:name="三、采购需求量"/>
      <w:bookmarkEnd w:id="24"/>
      <w:bookmarkStart w:id="25" w:name="_Toc1264994868"/>
      <w:bookmarkStart w:id="26" w:name="_Toc1480513410"/>
      <w:bookmarkStart w:id="27" w:name="_Toc148621969"/>
      <w:bookmarkStart w:id="28" w:name="_Toc9386"/>
      <w:bookmarkStart w:id="29" w:name="_Toc244453926"/>
      <w:bookmarkStart w:id="30" w:name="_Toc948786577"/>
      <w:r>
        <w:rPr>
          <w:rFonts w:hint="eastAsia" w:ascii="黑体" w:hAnsi="黑体" w:eastAsia="黑体" w:cs="黑体"/>
          <w:b w:val="0"/>
          <w:bCs w:val="0"/>
          <w:highlight w:val="none"/>
          <w:lang w:eastAsia="zh-CN"/>
        </w:rPr>
        <w:t>三、采购需求量</w:t>
      </w:r>
      <w:bookmarkEnd w:id="25"/>
      <w:bookmarkEnd w:id="26"/>
      <w:bookmarkEnd w:id="27"/>
      <w:bookmarkEnd w:id="28"/>
      <w:bookmarkEnd w:id="29"/>
      <w:bookmarkEnd w:id="30"/>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bidi="ar-SA"/>
        </w:rPr>
      </w:pPr>
      <w:r>
        <w:rPr>
          <w:rFonts w:hint="eastAsia" w:ascii="仿宋_GB2312" w:hAnsi="仿宋_GB2312" w:eastAsia="仿宋_GB2312" w:cs="仿宋_GB2312"/>
          <w:spacing w:val="-1"/>
          <w:sz w:val="32"/>
          <w:szCs w:val="32"/>
          <w:highlight w:val="none"/>
          <w:lang w:val="en-US" w:eastAsia="zh-CN" w:bidi="ar-SA"/>
        </w:rPr>
        <w:t>各产品采购需求量根据参与本次联盟采购的医疗机构报送的采购需求量累加得出。</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rightChars="0" w:firstLine="640" w:firstLineChars="200"/>
        <w:textAlignment w:val="auto"/>
        <w:outlineLvl w:val="1"/>
        <w:rPr>
          <w:rFonts w:hint="eastAsia" w:ascii="黑体" w:hAnsi="黑体" w:eastAsia="黑体" w:cs="黑体"/>
          <w:b w:val="0"/>
          <w:bCs w:val="0"/>
          <w:highlight w:val="none"/>
          <w:lang w:eastAsia="zh-CN"/>
        </w:rPr>
      </w:pPr>
      <w:bookmarkStart w:id="31" w:name="四、申报资格"/>
      <w:bookmarkEnd w:id="31"/>
      <w:bookmarkStart w:id="32" w:name="_Toc21586"/>
      <w:bookmarkStart w:id="33" w:name="_Toc153724953"/>
      <w:bookmarkStart w:id="34" w:name="_Toc1189920664"/>
      <w:bookmarkStart w:id="35" w:name="_Toc1868672031"/>
      <w:bookmarkStart w:id="36" w:name="_Toc400917571"/>
      <w:bookmarkStart w:id="37" w:name="_Toc1340954541"/>
      <w:r>
        <w:rPr>
          <w:rFonts w:hint="eastAsia" w:ascii="黑体" w:hAnsi="黑体" w:eastAsia="黑体" w:cs="黑体"/>
          <w:b w:val="0"/>
          <w:bCs w:val="0"/>
          <w:highlight w:val="none"/>
          <w:lang w:eastAsia="zh-CN"/>
        </w:rPr>
        <w:t>四、申报资格</w:t>
      </w:r>
      <w:bookmarkEnd w:id="32"/>
      <w:bookmarkEnd w:id="33"/>
      <w:bookmarkEnd w:id="34"/>
      <w:bookmarkEnd w:id="35"/>
      <w:bookmarkEnd w:id="36"/>
      <w:bookmarkEnd w:id="37"/>
    </w:p>
    <w:p>
      <w:pPr>
        <w:keepNext w:val="0"/>
        <w:keepLines w:val="0"/>
        <w:pageBreakBefore w:val="0"/>
        <w:widowControl w:val="0"/>
        <w:kinsoku/>
        <w:wordWrap/>
        <w:overflowPunct/>
        <w:topLinePunct w:val="0"/>
        <w:autoSpaceDE w:val="0"/>
        <w:autoSpaceDN w:val="0"/>
        <w:bidi w:val="0"/>
        <w:adjustRightInd w:val="0"/>
        <w:snapToGrid/>
        <w:spacing w:before="0" w:line="580" w:lineRule="exact"/>
        <w:ind w:left="0" w:right="0" w:rightChars="0" w:firstLine="640" w:firstLineChars="200"/>
        <w:jc w:val="both"/>
        <w:textAlignment w:val="auto"/>
        <w:rPr>
          <w:rFonts w:hint="eastAsia" w:ascii="仿宋_GB2312" w:hAnsi="仿宋_GB2312" w:eastAsia="仿宋_GB2312" w:cs="仿宋_GB2312"/>
          <w:color w:val="000000"/>
          <w:spacing w:val="0"/>
          <w:sz w:val="32"/>
          <w:szCs w:val="32"/>
          <w:highlight w:val="none"/>
          <w:lang w:val="en-US" w:eastAsia="zh-CN" w:bidi="ar-SA"/>
        </w:rPr>
      </w:pPr>
      <w:r>
        <w:rPr>
          <w:rFonts w:hint="eastAsia" w:ascii="仿宋_GB2312" w:hAnsi="仿宋_GB2312" w:eastAsia="仿宋_GB2312" w:cs="仿宋_GB2312"/>
          <w:color w:val="000000"/>
          <w:sz w:val="32"/>
          <w:szCs w:val="32"/>
          <w:highlight w:val="none"/>
          <w:lang w:eastAsia="zh-CN"/>
        </w:rPr>
        <w:t>申报企业为提供医用耗材及伴随服务的医用耗材生产企业〔境外医用耗材《医疗器械注册证》上指定的代理人或进口商（报关企业）视同生产企业〕和医疗器械注册人。</w:t>
      </w:r>
      <w:r>
        <w:rPr>
          <w:rFonts w:hint="eastAsia" w:ascii="仿宋_GB2312" w:hAnsi="仿宋_GB2312" w:eastAsia="仿宋_GB2312" w:cs="仿宋_GB2312"/>
          <w:color w:val="000000"/>
          <w:spacing w:val="0"/>
          <w:sz w:val="32"/>
          <w:szCs w:val="32"/>
          <w:highlight w:val="none"/>
          <w:lang w:val="en-US" w:eastAsia="zh-CN" w:bidi="ar-SA"/>
        </w:rPr>
        <w:t>参加</w:t>
      </w:r>
      <w:r>
        <w:rPr>
          <w:rFonts w:hint="eastAsia" w:ascii="仿宋_GB2312" w:hAnsi="仿宋_GB2312" w:eastAsia="仿宋_GB2312" w:cs="仿宋_GB2312"/>
          <w:spacing w:val="-1"/>
          <w:sz w:val="32"/>
          <w:szCs w:val="32"/>
          <w:highlight w:val="none"/>
          <w:lang w:val="en-US" w:eastAsia="zh-CN" w:bidi="ar-SA"/>
        </w:rPr>
        <w:t>本次联盟采购</w:t>
      </w:r>
      <w:r>
        <w:rPr>
          <w:rFonts w:hint="eastAsia" w:ascii="仿宋_GB2312" w:hAnsi="仿宋_GB2312" w:eastAsia="仿宋_GB2312" w:cs="仿宋_GB2312"/>
          <w:color w:val="000000"/>
          <w:spacing w:val="0"/>
          <w:sz w:val="32"/>
          <w:szCs w:val="32"/>
          <w:highlight w:val="none"/>
          <w:lang w:val="en-US" w:eastAsia="zh-CN" w:bidi="ar-SA"/>
        </w:rPr>
        <w:t>的申报企业应当符合以下要求：</w:t>
      </w:r>
    </w:p>
    <w:p>
      <w:pPr>
        <w:pStyle w:val="8"/>
        <w:keepNext w:val="0"/>
        <w:keepLines w:val="0"/>
        <w:pageBreakBefore w:val="0"/>
        <w:widowControl w:val="0"/>
        <w:kinsoku/>
        <w:wordWrap/>
        <w:overflowPunct/>
        <w:topLinePunct w:val="0"/>
        <w:autoSpaceDE w:val="0"/>
        <w:autoSpaceDN w:val="0"/>
        <w:bidi w:val="0"/>
        <w:snapToGrid/>
        <w:spacing w:before="0" w:line="580" w:lineRule="exact"/>
        <w:ind w:left="0" w:right="0" w:rightChars="0" w:firstLine="640"/>
        <w:textAlignment w:val="auto"/>
        <w:outlineLvl w:val="2"/>
        <w:rPr>
          <w:rFonts w:hint="eastAsia" w:ascii="楷体_GB2312" w:hAnsi="楷体_GB2312" w:eastAsia="楷体_GB2312" w:cs="楷体_GB2312"/>
          <w:b w:val="0"/>
          <w:bCs/>
          <w:sz w:val="32"/>
          <w:szCs w:val="22"/>
          <w:highlight w:val="none"/>
          <w:lang w:val="en-US" w:eastAsia="zh-CN" w:bidi="ar-SA"/>
        </w:rPr>
      </w:pPr>
      <w:bookmarkStart w:id="38" w:name="_Toc1565415158"/>
      <w:bookmarkStart w:id="39" w:name="_Toc1919726455"/>
      <w:bookmarkStart w:id="40" w:name="_Toc1628878984"/>
      <w:bookmarkStart w:id="41" w:name="_Toc30916"/>
      <w:bookmarkStart w:id="42" w:name="_Toc1211466799"/>
      <w:r>
        <w:rPr>
          <w:rFonts w:hint="eastAsia" w:ascii="楷体_GB2312" w:hAnsi="楷体_GB2312" w:eastAsia="楷体_GB2312" w:cs="楷体_GB2312"/>
          <w:b w:val="0"/>
          <w:bCs/>
          <w:sz w:val="32"/>
          <w:szCs w:val="22"/>
          <w:highlight w:val="none"/>
          <w:lang w:val="en-US" w:eastAsia="zh-CN" w:bidi="ar-SA"/>
        </w:rPr>
        <w:t>（一）资质要求</w:t>
      </w:r>
      <w:bookmarkEnd w:id="38"/>
      <w:bookmarkEnd w:id="39"/>
      <w:bookmarkEnd w:id="40"/>
      <w:bookmarkEnd w:id="41"/>
      <w:bookmarkEnd w:id="42"/>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bidi="ar-SA"/>
        </w:rPr>
      </w:pPr>
      <w:r>
        <w:rPr>
          <w:rFonts w:hint="eastAsia" w:ascii="仿宋_GB2312" w:hAnsi="仿宋_GB2312" w:eastAsia="仿宋_GB2312" w:cs="仿宋_GB2312"/>
          <w:spacing w:val="-1"/>
          <w:sz w:val="32"/>
          <w:szCs w:val="32"/>
          <w:highlight w:val="none"/>
          <w:lang w:val="en-US" w:eastAsia="zh-CN" w:bidi="ar-SA"/>
        </w:rPr>
        <w:t>1.申报企业为已取得本次集中带量采购产品合法资质的医疗器械注册人（含备案人，下同）。境外医疗器械注册人应当指定我国境内企业法人协助其履行相应的法律义务，委托其作为申报企业。同一境外医疗器械注册人（代理人或报关企业）的产品不得委托不同企业进行申报。不同境外医疗器械注册人（代理人或报关企业）委托同一家企业申报的，如医疗器械注册人非同一实际控制人，且不存在控股关系，则根据医疗器械注册人数量视为多个申报企业；如医疗器械注册人为同一实际控制人或存在控股关系，则视为同一申报企业。</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bidi="ar-SA"/>
        </w:rPr>
      </w:pPr>
      <w:r>
        <w:rPr>
          <w:rFonts w:hint="eastAsia" w:ascii="仿宋_GB2312" w:hAnsi="仿宋_GB2312" w:eastAsia="仿宋_GB2312" w:cs="仿宋_GB2312"/>
          <w:spacing w:val="-1"/>
          <w:sz w:val="32"/>
          <w:szCs w:val="32"/>
          <w:highlight w:val="none"/>
          <w:lang w:val="en-US" w:eastAsia="zh-CN" w:bidi="ar-SA"/>
        </w:rPr>
        <w:t>2.申报企业的产品应当符合国家有关部门的质量标准要求，并按国家有关部门要求组织生产。</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bidi="ar-SA"/>
        </w:rPr>
      </w:pPr>
      <w:r>
        <w:rPr>
          <w:rFonts w:hint="eastAsia" w:ascii="仿宋_GB2312" w:hAnsi="仿宋_GB2312" w:eastAsia="仿宋_GB2312" w:cs="仿宋_GB2312"/>
          <w:spacing w:val="-1"/>
          <w:sz w:val="32"/>
          <w:szCs w:val="32"/>
          <w:highlight w:val="none"/>
          <w:lang w:val="en-US" w:eastAsia="zh-CN" w:bidi="ar-SA"/>
        </w:rPr>
        <w:t>3.申报企业应遵守《中华人民共和国民法典》《中华人民共和国价格法》《中华人民共和国专利法》《中华人民共和国反不正当竞争法》《中华人民共和国反垄断法》等相关法律法规。</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bidi="ar-SA"/>
        </w:rPr>
      </w:pPr>
      <w:r>
        <w:rPr>
          <w:rFonts w:hint="eastAsia" w:ascii="仿宋_GB2312" w:hAnsi="仿宋_GB2312" w:eastAsia="仿宋_GB2312" w:cs="仿宋_GB2312"/>
          <w:spacing w:val="-1"/>
          <w:sz w:val="32"/>
          <w:szCs w:val="32"/>
          <w:highlight w:val="none"/>
          <w:lang w:val="en-US" w:eastAsia="zh-CN" w:bidi="ar-SA"/>
        </w:rPr>
        <w:t>4.不接受被列入《全国医药价格和招采失信企业风险警示名单》和被我省评定为失信等级“特别严重”的企业申报。</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bidi="ar-SA"/>
        </w:rPr>
      </w:pPr>
      <w:r>
        <w:rPr>
          <w:rFonts w:hint="eastAsia" w:ascii="仿宋_GB2312" w:hAnsi="仿宋_GB2312" w:eastAsia="仿宋_GB2312" w:cs="仿宋_GB2312"/>
          <w:spacing w:val="-1"/>
          <w:sz w:val="32"/>
          <w:szCs w:val="32"/>
          <w:highlight w:val="none"/>
          <w:lang w:val="en-US" w:eastAsia="zh-CN" w:bidi="ar-SA"/>
        </w:rPr>
        <w:t>5.申报企业应具有履行合同必须具备的能力，一旦中选，作为保障质量、供应的第一责任人，应及时、保质、足量按要求组织生产，并向配送企业发送医用耗材，满足医疗机构临床需求。</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bidi="ar-SA"/>
        </w:rPr>
      </w:pPr>
      <w:r>
        <w:rPr>
          <w:rFonts w:hint="eastAsia" w:ascii="仿宋_GB2312" w:hAnsi="仿宋_GB2312" w:eastAsia="仿宋_GB2312" w:cs="仿宋_GB2312"/>
          <w:spacing w:val="-1"/>
          <w:sz w:val="32"/>
          <w:szCs w:val="32"/>
          <w:highlight w:val="none"/>
          <w:lang w:val="en-US" w:eastAsia="zh-CN" w:bidi="ar-SA"/>
        </w:rPr>
        <w:t>6.申报企业应指定人员为授权人代表负责本次联盟采购活动的管理，并承担相应法律责任。</w:t>
      </w:r>
    </w:p>
    <w:p>
      <w:pPr>
        <w:pStyle w:val="8"/>
        <w:keepNext w:val="0"/>
        <w:keepLines w:val="0"/>
        <w:pageBreakBefore w:val="0"/>
        <w:widowControl w:val="0"/>
        <w:kinsoku/>
        <w:wordWrap/>
        <w:overflowPunct/>
        <w:topLinePunct w:val="0"/>
        <w:autoSpaceDE w:val="0"/>
        <w:autoSpaceDN w:val="0"/>
        <w:bidi w:val="0"/>
        <w:snapToGrid/>
        <w:spacing w:before="0" w:line="580" w:lineRule="exact"/>
        <w:ind w:left="0" w:right="0" w:rightChars="0" w:firstLine="640"/>
        <w:textAlignment w:val="auto"/>
        <w:outlineLvl w:val="2"/>
        <w:rPr>
          <w:rFonts w:hint="eastAsia" w:ascii="楷体_GB2312" w:hAnsi="楷体_GB2312" w:eastAsia="楷体_GB2312" w:cs="楷体_GB2312"/>
          <w:b w:val="0"/>
          <w:bCs/>
          <w:sz w:val="32"/>
          <w:szCs w:val="22"/>
          <w:highlight w:val="none"/>
          <w:lang w:val="en-US" w:eastAsia="zh-CN" w:bidi="ar-SA"/>
        </w:rPr>
      </w:pPr>
      <w:bookmarkStart w:id="43" w:name="_Toc25825"/>
      <w:bookmarkStart w:id="44" w:name="_Toc1850347452"/>
      <w:bookmarkStart w:id="45" w:name="_Toc1110401109"/>
      <w:bookmarkStart w:id="46" w:name="_Toc1252836716"/>
      <w:bookmarkStart w:id="47" w:name="_Toc447552132"/>
      <w:r>
        <w:rPr>
          <w:rFonts w:hint="eastAsia" w:ascii="楷体_GB2312" w:hAnsi="楷体_GB2312" w:eastAsia="楷体_GB2312" w:cs="楷体_GB2312"/>
          <w:b w:val="0"/>
          <w:bCs/>
          <w:sz w:val="32"/>
          <w:szCs w:val="22"/>
          <w:highlight w:val="none"/>
          <w:lang w:val="en-US" w:eastAsia="zh-CN" w:bidi="ar-SA"/>
        </w:rPr>
        <w:t>（二）其他要求</w:t>
      </w:r>
      <w:bookmarkEnd w:id="43"/>
      <w:bookmarkEnd w:id="44"/>
      <w:bookmarkEnd w:id="45"/>
      <w:bookmarkEnd w:id="46"/>
      <w:bookmarkEnd w:id="47"/>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rPr>
      </w:pPr>
      <w:r>
        <w:rPr>
          <w:rFonts w:hint="eastAsia" w:ascii="仿宋_GB2312" w:hAnsi="仿宋_GB2312" w:eastAsia="仿宋_GB2312" w:cs="仿宋_GB2312"/>
          <w:spacing w:val="-1"/>
          <w:sz w:val="32"/>
          <w:szCs w:val="32"/>
          <w:highlight w:val="none"/>
          <w:lang w:val="en-US" w:eastAsia="zh-CN"/>
        </w:rPr>
        <w:t>1.</w:t>
      </w:r>
      <w:r>
        <w:rPr>
          <w:rFonts w:hint="eastAsia" w:ascii="仿宋_GB2312" w:hAnsi="仿宋_GB2312" w:eastAsia="仿宋_GB2312" w:cs="仿宋_GB2312"/>
          <w:spacing w:val="-1"/>
          <w:sz w:val="32"/>
          <w:szCs w:val="32"/>
          <w:highlight w:val="none"/>
        </w:rPr>
        <w:t>申报企业不得以欺诈、串通投标、滥用市场支配地位等方式竞标扰乱集中采购秩序。</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rPr>
      </w:pPr>
      <w:r>
        <w:rPr>
          <w:rFonts w:hint="eastAsia" w:ascii="仿宋_GB2312" w:hAnsi="仿宋_GB2312" w:eastAsia="仿宋_GB2312" w:cs="仿宋_GB2312"/>
          <w:spacing w:val="-1"/>
          <w:sz w:val="32"/>
          <w:szCs w:val="32"/>
          <w:highlight w:val="none"/>
          <w:lang w:val="en-US" w:eastAsia="zh-CN"/>
        </w:rPr>
        <w:t>2.</w:t>
      </w:r>
      <w:r>
        <w:rPr>
          <w:rFonts w:hint="eastAsia" w:ascii="仿宋_GB2312" w:hAnsi="仿宋_GB2312" w:eastAsia="仿宋_GB2312" w:cs="仿宋_GB2312"/>
          <w:spacing w:val="-1"/>
          <w:sz w:val="32"/>
          <w:szCs w:val="32"/>
          <w:highlight w:val="none"/>
        </w:rPr>
        <w:t>申报企业涉嫌未如实提供申报资料及相关证明材料，情节严重的，取消该企业参与</w:t>
      </w:r>
      <w:r>
        <w:rPr>
          <w:rFonts w:hint="eastAsia" w:ascii="仿宋_GB2312" w:hAnsi="仿宋_GB2312" w:eastAsia="仿宋_GB2312" w:cs="仿宋_GB2312"/>
          <w:spacing w:val="-1"/>
          <w:sz w:val="32"/>
          <w:szCs w:val="32"/>
          <w:highlight w:val="none"/>
          <w:lang w:val="en-US" w:eastAsia="zh-CN" w:bidi="ar-SA"/>
        </w:rPr>
        <w:t>本次联盟采购</w:t>
      </w:r>
      <w:r>
        <w:rPr>
          <w:rFonts w:hint="eastAsia" w:ascii="仿宋_GB2312" w:hAnsi="仿宋_GB2312" w:eastAsia="仿宋_GB2312" w:cs="仿宋_GB2312"/>
          <w:spacing w:val="-1"/>
          <w:sz w:val="32"/>
          <w:szCs w:val="32"/>
          <w:highlight w:val="none"/>
        </w:rPr>
        <w:t>资格，并按有关规定处理。</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rPr>
      </w:pPr>
      <w:r>
        <w:rPr>
          <w:rFonts w:hint="eastAsia" w:ascii="仿宋_GB2312" w:hAnsi="仿宋_GB2312" w:eastAsia="仿宋_GB2312" w:cs="仿宋_GB2312"/>
          <w:spacing w:val="-1"/>
          <w:sz w:val="32"/>
          <w:szCs w:val="32"/>
          <w:highlight w:val="none"/>
          <w:lang w:val="en-US" w:eastAsia="zh-CN"/>
        </w:rPr>
        <w:t>3.</w:t>
      </w:r>
      <w:r>
        <w:rPr>
          <w:rFonts w:hint="eastAsia" w:ascii="仿宋_GB2312" w:hAnsi="仿宋_GB2312" w:eastAsia="仿宋_GB2312" w:cs="仿宋_GB2312"/>
          <w:spacing w:val="-1"/>
          <w:sz w:val="32"/>
          <w:szCs w:val="32"/>
          <w:highlight w:val="none"/>
        </w:rPr>
        <w:t>企业申投诉应依法依规在公示期内提供合法有效证据材料，恶意质疑投诉的企业纳入不良记录管理。</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rPr>
      </w:pPr>
      <w:r>
        <w:rPr>
          <w:rFonts w:hint="eastAsia" w:ascii="仿宋_GB2312" w:hAnsi="仿宋_GB2312" w:eastAsia="仿宋_GB2312" w:cs="仿宋_GB2312"/>
          <w:spacing w:val="-1"/>
          <w:sz w:val="32"/>
          <w:szCs w:val="32"/>
          <w:highlight w:val="none"/>
          <w:lang w:val="en-US" w:eastAsia="zh-CN"/>
        </w:rPr>
        <w:t>4.</w:t>
      </w:r>
      <w:r>
        <w:rPr>
          <w:rFonts w:hint="eastAsia" w:ascii="仿宋_GB2312" w:hAnsi="仿宋_GB2312" w:eastAsia="仿宋_GB2312" w:cs="仿宋_GB2312"/>
          <w:spacing w:val="-1"/>
          <w:sz w:val="32"/>
          <w:szCs w:val="32"/>
          <w:highlight w:val="none"/>
        </w:rPr>
        <w:t>申报企业中选后，须按要求签订带量购销</w:t>
      </w:r>
      <w:r>
        <w:rPr>
          <w:rFonts w:hint="eastAsia" w:ascii="仿宋_GB2312" w:hAnsi="仿宋_GB2312" w:eastAsia="仿宋_GB2312" w:cs="仿宋_GB2312"/>
          <w:spacing w:val="-1"/>
          <w:sz w:val="32"/>
          <w:szCs w:val="32"/>
          <w:highlight w:val="none"/>
          <w:lang w:eastAsia="zh-CN"/>
        </w:rPr>
        <w:t>合同</w:t>
      </w:r>
      <w:r>
        <w:rPr>
          <w:rFonts w:hint="eastAsia" w:ascii="仿宋_GB2312" w:hAnsi="仿宋_GB2312" w:eastAsia="仿宋_GB2312" w:cs="仿宋_GB2312"/>
          <w:spacing w:val="-1"/>
          <w:sz w:val="32"/>
          <w:szCs w:val="32"/>
          <w:highlight w:val="none"/>
        </w:rPr>
        <w:t>。</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rPr>
      </w:pPr>
      <w:r>
        <w:rPr>
          <w:rFonts w:hint="eastAsia" w:ascii="仿宋_GB2312" w:hAnsi="仿宋_GB2312" w:eastAsia="仿宋_GB2312" w:cs="仿宋_GB2312"/>
          <w:spacing w:val="-1"/>
          <w:sz w:val="32"/>
          <w:szCs w:val="32"/>
          <w:highlight w:val="none"/>
          <w:lang w:val="en-US" w:eastAsia="zh-CN"/>
        </w:rPr>
        <w:t>5.</w:t>
      </w:r>
      <w:bookmarkStart w:id="48" w:name="6.中选医用耗材在履行合同中如遇国家政策调整或不可抗力，致使直接影响协议履行的，"/>
      <w:bookmarkEnd w:id="48"/>
      <w:bookmarkStart w:id="49" w:name="6.中选医用耗材在履行合同中如遇国家政策调整或不可抗力，致使直接影响协议履行的，"/>
      <w:bookmarkEnd w:id="49"/>
      <w:r>
        <w:rPr>
          <w:rFonts w:hint="eastAsia" w:ascii="仿宋_GB2312" w:hAnsi="仿宋_GB2312" w:eastAsia="仿宋_GB2312" w:cs="仿宋_GB2312"/>
          <w:spacing w:val="-1"/>
          <w:sz w:val="32"/>
          <w:szCs w:val="32"/>
          <w:highlight w:val="none"/>
        </w:rPr>
        <w:t>中选医用耗材在履行合同中，如同产品在全</w:t>
      </w:r>
      <w:r>
        <w:rPr>
          <w:rFonts w:hint="eastAsia" w:ascii="仿宋_GB2312" w:hAnsi="仿宋_GB2312" w:eastAsia="仿宋_GB2312" w:cs="仿宋_GB2312"/>
          <w:spacing w:val="-1"/>
          <w:sz w:val="32"/>
          <w:szCs w:val="32"/>
          <w:highlight w:val="none"/>
          <w:lang w:val="en-US" w:eastAsia="zh-CN"/>
        </w:rPr>
        <w:t>国</w:t>
      </w:r>
      <w:r>
        <w:rPr>
          <w:rFonts w:hint="eastAsia" w:ascii="仿宋_GB2312" w:hAnsi="仿宋_GB2312" w:eastAsia="仿宋_GB2312" w:cs="仿宋_GB2312"/>
          <w:spacing w:val="-1"/>
          <w:sz w:val="32"/>
          <w:szCs w:val="32"/>
          <w:highlight w:val="none"/>
        </w:rPr>
        <w:t>其他地市级（含联盟）及以上集中采购（含带量采购）中</w:t>
      </w:r>
      <w:r>
        <w:rPr>
          <w:rFonts w:hint="eastAsia" w:ascii="仿宋_GB2312" w:hAnsi="仿宋_GB2312" w:eastAsia="仿宋_GB2312" w:cs="仿宋_GB2312"/>
          <w:spacing w:val="-1"/>
          <w:sz w:val="32"/>
          <w:szCs w:val="32"/>
          <w:highlight w:val="none"/>
          <w:lang w:val="en-US" w:eastAsia="zh-CN"/>
        </w:rPr>
        <w:t>新</w:t>
      </w:r>
      <w:r>
        <w:rPr>
          <w:rFonts w:hint="eastAsia" w:ascii="仿宋_GB2312" w:hAnsi="仿宋_GB2312" w:eastAsia="仿宋_GB2312" w:cs="仿宋_GB2312"/>
          <w:spacing w:val="-1"/>
          <w:sz w:val="32"/>
          <w:szCs w:val="32"/>
          <w:highlight w:val="none"/>
        </w:rPr>
        <w:t>产生更低中选价格，价格须相应联动。</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snapToGrid/>
        <w:spacing w:before="0" w:after="0" w:line="580" w:lineRule="exact"/>
        <w:ind w:left="0" w:right="0" w:rightChars="0" w:firstLine="636" w:firstLineChars="200"/>
        <w:jc w:val="both"/>
        <w:textAlignment w:val="auto"/>
        <w:rPr>
          <w:rFonts w:hint="eastAsia"/>
          <w:spacing w:val="-1"/>
          <w:sz w:val="31"/>
          <w:highlight w:val="none"/>
        </w:rPr>
      </w:pPr>
      <w:r>
        <w:rPr>
          <w:rFonts w:hint="eastAsia" w:ascii="仿宋_GB2312" w:hAnsi="仿宋_GB2312" w:eastAsia="仿宋_GB2312" w:cs="仿宋_GB2312"/>
          <w:spacing w:val="-1"/>
          <w:sz w:val="32"/>
          <w:szCs w:val="32"/>
          <w:highlight w:val="none"/>
          <w:lang w:val="en-US" w:eastAsia="zh-CN"/>
        </w:rPr>
        <w:t>6.</w:t>
      </w:r>
      <w:r>
        <w:rPr>
          <w:rFonts w:hint="eastAsia" w:ascii="仿宋_GB2312" w:hAnsi="仿宋_GB2312" w:eastAsia="仿宋_GB2312" w:cs="仿宋_GB2312"/>
          <w:spacing w:val="-1"/>
          <w:sz w:val="32"/>
          <w:szCs w:val="32"/>
          <w:highlight w:val="none"/>
        </w:rPr>
        <w:t>中选医用耗材在履行合同中如遇国家政策调整或不可抗力，致使直接影响协议履行的，由签订购销</w:t>
      </w:r>
      <w:r>
        <w:rPr>
          <w:rFonts w:hint="eastAsia" w:ascii="仿宋_GB2312" w:hAnsi="仿宋_GB2312" w:eastAsia="仿宋_GB2312" w:cs="仿宋_GB2312"/>
          <w:spacing w:val="-1"/>
          <w:sz w:val="32"/>
          <w:szCs w:val="32"/>
          <w:highlight w:val="none"/>
          <w:lang w:eastAsia="zh-CN"/>
        </w:rPr>
        <w:t>合同</w:t>
      </w:r>
      <w:r>
        <w:rPr>
          <w:rFonts w:hint="eastAsia" w:ascii="仿宋_GB2312" w:hAnsi="仿宋_GB2312" w:eastAsia="仿宋_GB2312" w:cs="仿宋_GB2312"/>
          <w:spacing w:val="-1"/>
          <w:sz w:val="32"/>
          <w:szCs w:val="32"/>
          <w:highlight w:val="none"/>
        </w:rPr>
        <w:t>中的各方协商解决。</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rightChars="0" w:firstLine="640" w:firstLineChars="200"/>
        <w:textAlignment w:val="auto"/>
        <w:outlineLvl w:val="1"/>
        <w:rPr>
          <w:rFonts w:hint="eastAsia" w:ascii="黑体" w:hAnsi="黑体" w:eastAsia="黑体" w:cs="黑体"/>
          <w:b w:val="0"/>
          <w:bCs w:val="0"/>
          <w:highlight w:val="none"/>
          <w:lang w:eastAsia="zh-CN"/>
        </w:rPr>
      </w:pPr>
      <w:bookmarkStart w:id="50" w:name="五、采购执行说明"/>
      <w:bookmarkEnd w:id="50"/>
      <w:bookmarkStart w:id="51" w:name="_Toc1520950730"/>
      <w:bookmarkStart w:id="52" w:name="_Toc91790949"/>
      <w:bookmarkStart w:id="53" w:name="_Toc31004"/>
      <w:bookmarkStart w:id="54" w:name="_Toc536155550"/>
      <w:bookmarkStart w:id="55" w:name="_Toc878546533"/>
      <w:bookmarkStart w:id="56" w:name="_Toc1915664457"/>
      <w:r>
        <w:rPr>
          <w:rFonts w:hint="eastAsia" w:ascii="黑体" w:hAnsi="黑体" w:eastAsia="黑体" w:cs="黑体"/>
          <w:b w:val="0"/>
          <w:bCs w:val="0"/>
          <w:highlight w:val="none"/>
          <w:lang w:eastAsia="zh-CN"/>
        </w:rPr>
        <w:t>五、采购执行说明</w:t>
      </w:r>
      <w:bookmarkEnd w:id="51"/>
      <w:bookmarkEnd w:id="52"/>
      <w:bookmarkEnd w:id="53"/>
      <w:bookmarkEnd w:id="54"/>
      <w:bookmarkEnd w:id="55"/>
      <w:bookmarkEnd w:id="56"/>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（一）联盟地市所有公立医疗机构（含军队医疗机构，下同）均应按规定参加医用耗材集中带量采购。鼓励医保定点社会办医疗机构在进一步完善医用耗材进销存管理、确保医用耗材货款及时结算的基础上参与。</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（二）集中带量采购结果执行周期中，各有关医疗机构应优先使用集中带量采购中选产品，并确保完成每个中选企业产品的协议采购量。</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（三）各有关医疗机构应在采购周期内完成中选产品协议采购量。各有关医疗机构在完成中选产品协议采购量的基础上，剩余用量可适量采购同品种价格适宜的其他医用耗材。</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四）各有关医疗机构应畅通集中带量采购中选产品采购使用渠道，确保完成协议采购量。各级医保部门和医疗机构不得以医疗机构医用耗材使用品种数量、医用耗材管理委员会评审为由影响中选产品的合理使用。</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（五）采购周期内，如中选产品注册证有更新，新证上应体现与旧证的关联性，中选资格及中选价格维持不变。</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（六）采购周期内，对于本批次集采网上申报产品资料截止日后的新获批产品，医疗机构采购价格不高于同竞价单元中选产品中位价的，不纳入非中选统计。</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rightChars="0" w:firstLine="640" w:firstLineChars="200"/>
        <w:textAlignment w:val="auto"/>
        <w:outlineLvl w:val="1"/>
        <w:rPr>
          <w:rFonts w:hint="eastAsia" w:ascii="黑体" w:hAnsi="黑体" w:eastAsia="黑体" w:cs="黑体"/>
          <w:b w:val="0"/>
          <w:bCs w:val="0"/>
          <w:highlight w:val="none"/>
          <w:lang w:eastAsia="zh-CN"/>
        </w:rPr>
      </w:pPr>
      <w:bookmarkStart w:id="57" w:name="六、采购周期与采购协议"/>
      <w:bookmarkEnd w:id="57"/>
      <w:bookmarkStart w:id="58" w:name="_Toc802049744"/>
      <w:bookmarkStart w:id="59" w:name="_Toc1121068869"/>
      <w:bookmarkStart w:id="60" w:name="_Toc1781507006"/>
      <w:bookmarkStart w:id="61" w:name="_Toc389626496"/>
      <w:bookmarkStart w:id="62" w:name="_Toc17379"/>
      <w:bookmarkStart w:id="63" w:name="_Toc913838032"/>
      <w:r>
        <w:rPr>
          <w:rFonts w:hint="eastAsia" w:ascii="黑体" w:hAnsi="黑体" w:eastAsia="黑体" w:cs="黑体"/>
          <w:b w:val="0"/>
          <w:bCs w:val="0"/>
          <w:highlight w:val="none"/>
          <w:lang w:eastAsia="zh-CN"/>
        </w:rPr>
        <w:t>六、采购周期与采购协议</w:t>
      </w:r>
      <w:bookmarkEnd w:id="58"/>
      <w:bookmarkEnd w:id="59"/>
      <w:bookmarkEnd w:id="60"/>
      <w:bookmarkEnd w:id="61"/>
      <w:bookmarkEnd w:id="62"/>
      <w:bookmarkEnd w:id="63"/>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yellow"/>
          <w:lang w:val="en-US" w:eastAsia="zh-CN"/>
        </w:rPr>
      </w:pPr>
      <w:r>
        <w:rPr>
          <w:rFonts w:hint="eastAsia" w:ascii="仿宋_GB2312" w:hAnsi="仿宋_GB2312" w:eastAsia="仿宋_GB2312" w:cs="仿宋_GB2312"/>
          <w:spacing w:val="-1"/>
          <w:sz w:val="32"/>
          <w:szCs w:val="32"/>
          <w:highlight w:val="none"/>
          <w:lang w:val="en-US" w:eastAsia="zh-CN"/>
        </w:rPr>
        <w:t>（一）采购周期自中选结果实际执行日起计算，原则上为2年。</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（二）采购周期内若提前完成当年协议采购量，超过部分中选企业仍应按中选价格进行供应，直至采购周期届满。</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（三）采购周期内相关医用耗材品类纳入国家、省级及省际联盟组织集中带量采购，按要求执行相关带量采购结果。</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rightChars="0" w:firstLine="640" w:firstLineChars="200"/>
        <w:textAlignment w:val="auto"/>
        <w:outlineLvl w:val="1"/>
        <w:rPr>
          <w:rFonts w:hint="eastAsia" w:ascii="黑体" w:hAnsi="黑体" w:eastAsia="黑体" w:cs="黑体"/>
          <w:b w:val="0"/>
          <w:bCs w:val="0"/>
          <w:highlight w:val="none"/>
          <w:lang w:eastAsia="zh-CN"/>
        </w:rPr>
      </w:pPr>
      <w:bookmarkStart w:id="64" w:name="七、申报方式"/>
      <w:bookmarkEnd w:id="64"/>
      <w:bookmarkStart w:id="65" w:name="_Toc1930446152"/>
      <w:bookmarkStart w:id="66" w:name="_Toc1571243368"/>
      <w:bookmarkStart w:id="67" w:name="_Toc394867356"/>
      <w:bookmarkStart w:id="68" w:name="_Toc488387941"/>
      <w:bookmarkStart w:id="69" w:name="_Toc282191325"/>
      <w:bookmarkStart w:id="70" w:name="_Toc22935"/>
      <w:r>
        <w:rPr>
          <w:rFonts w:hint="eastAsia" w:ascii="黑体" w:hAnsi="黑体" w:eastAsia="黑体" w:cs="黑体"/>
          <w:b w:val="0"/>
          <w:bCs w:val="0"/>
          <w:highlight w:val="none"/>
          <w:lang w:eastAsia="zh-CN"/>
        </w:rPr>
        <w:t>七、申报方式</w:t>
      </w:r>
      <w:bookmarkEnd w:id="65"/>
      <w:bookmarkEnd w:id="66"/>
      <w:bookmarkEnd w:id="67"/>
      <w:bookmarkEnd w:id="68"/>
      <w:bookmarkEnd w:id="69"/>
      <w:bookmarkEnd w:id="70"/>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bidi="ar-SA"/>
        </w:rPr>
        <w:t>本次联盟采购</w:t>
      </w:r>
      <w:r>
        <w:rPr>
          <w:rFonts w:hint="eastAsia" w:ascii="仿宋_GB2312" w:hAnsi="仿宋_GB2312" w:eastAsia="仿宋_GB2312" w:cs="仿宋_GB2312"/>
          <w:spacing w:val="-1"/>
          <w:sz w:val="32"/>
          <w:szCs w:val="32"/>
          <w:highlight w:val="none"/>
          <w:lang w:val="en-US" w:eastAsia="zh-CN"/>
        </w:rPr>
        <w:t>采用网上申报的方式进行。申报企业须注册并登录联盟集采网址进行网上医用耗材申报、资料提交、信息澄清、报价等相关操作。</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rightChars="0" w:firstLine="640" w:firstLineChars="200"/>
        <w:textAlignment w:val="auto"/>
        <w:outlineLvl w:val="1"/>
        <w:rPr>
          <w:rFonts w:hint="eastAsia" w:ascii="黑体" w:hAnsi="黑体" w:eastAsia="黑体" w:cs="黑体"/>
          <w:b w:val="0"/>
          <w:bCs w:val="0"/>
          <w:highlight w:val="none"/>
          <w:lang w:eastAsia="zh-CN"/>
        </w:rPr>
      </w:pPr>
      <w:bookmarkStart w:id="71" w:name="_Toc20757"/>
      <w:bookmarkStart w:id="72" w:name="_Toc825537788"/>
      <w:bookmarkStart w:id="73" w:name="_Toc617830646"/>
      <w:bookmarkStart w:id="74" w:name="_Toc280878817"/>
      <w:bookmarkStart w:id="75" w:name="_Toc1875903523"/>
      <w:bookmarkStart w:id="76" w:name="_Toc1328424262"/>
      <w:r>
        <w:rPr>
          <w:rFonts w:hint="eastAsia" w:ascii="黑体" w:hAnsi="黑体" w:eastAsia="黑体" w:cs="黑体"/>
          <w:b w:val="0"/>
          <w:bCs w:val="0"/>
          <w:highlight w:val="none"/>
          <w:lang w:eastAsia="zh-CN"/>
        </w:rPr>
        <w:t>八、工作流程</w:t>
      </w:r>
      <w:bookmarkEnd w:id="71"/>
      <w:bookmarkEnd w:id="72"/>
      <w:bookmarkEnd w:id="73"/>
      <w:bookmarkEnd w:id="74"/>
      <w:bookmarkEnd w:id="75"/>
      <w:bookmarkEnd w:id="76"/>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本次联盟采购工作流程如下，具体时间安排及工作要求另行通知。</w:t>
      </w:r>
    </w:p>
    <w:p>
      <w:pPr>
        <w:keepNext w:val="0"/>
        <w:keepLines w:val="0"/>
        <w:pageBreakBefore w:val="0"/>
        <w:widowControl w:val="0"/>
        <w:kinsoku/>
        <w:wordWrap/>
        <w:overflowPunct/>
        <w:topLinePunct w:val="0"/>
        <w:autoSpaceDE/>
        <w:autoSpaceDN/>
        <w:bidi w:val="0"/>
        <w:adjustRightInd/>
        <w:snapToGrid/>
        <w:spacing w:line="560" w:lineRule="exact"/>
        <w:ind w:right="508" w:rightChars="231"/>
        <w:jc w:val="center"/>
        <w:textAlignment w:val="auto"/>
        <w:rPr>
          <w:rFonts w:hint="default" w:eastAsia="宋体"/>
          <w:sz w:val="24"/>
          <w:szCs w:val="24"/>
          <w:highlight w:val="none"/>
          <w:lang w:val="en-US" w:eastAsia="zh-CN"/>
        </w:rPr>
      </w:pPr>
      <w:r>
        <w:rPr>
          <w:sz w:val="24"/>
          <w:highlight w:val="none"/>
        </w:rPr>
        <mc:AlternateContent>
          <mc:Choice Requires="wps">
            <w:drawing>
              <wp:anchor distT="0" distB="0" distL="114300" distR="114300" simplePos="0" relativeHeight="251662336" behindDoc="0" locked="0" layoutInCell="1" allowOverlap="1">
                <wp:simplePos x="0" y="0"/>
                <wp:positionH relativeFrom="column">
                  <wp:posOffset>1648460</wp:posOffset>
                </wp:positionH>
                <wp:positionV relativeFrom="paragraph">
                  <wp:posOffset>181610</wp:posOffset>
                </wp:positionV>
                <wp:extent cx="2454910" cy="273685"/>
                <wp:effectExtent l="4445" t="4445" r="17145" b="7620"/>
                <wp:wrapNone/>
                <wp:docPr id="7" name="文本框 33"/>
                <wp:cNvGraphicFramePr/>
                <a:graphic xmlns:a="http://schemas.openxmlformats.org/drawingml/2006/main">
                  <a:graphicData uri="http://schemas.microsoft.com/office/word/2010/wordprocessingShape">
                    <wps:wsp>
                      <wps:cNvSpPr txBox="1"/>
                      <wps:spPr>
                        <a:xfrm>
                          <a:off x="0" y="0"/>
                          <a:ext cx="2454910" cy="2736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医疗机构申报历史量和需求量</w:t>
                            </w:r>
                          </w:p>
                        </w:txbxContent>
                      </wps:txbx>
                      <wps:bodyPr wrap="square" upright="1"/>
                    </wps:wsp>
                  </a:graphicData>
                </a:graphic>
              </wp:anchor>
            </w:drawing>
          </mc:Choice>
          <mc:Fallback>
            <w:pict>
              <v:shape id="文本框 33" o:spid="_x0000_s1026" o:spt="202" type="#_x0000_t202" style="position:absolute;left:0pt;margin-left:129.8pt;margin-top:14.3pt;height:21.55pt;width:193.3pt;z-index:251662336;mso-width-relative:page;mso-height-relative:page;" fillcolor="#FFFFFF" filled="t" stroked="t" coordsize="21600,21600" o:gfxdata="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gdvd12AAAAAkBAAAPAAAAAAAAAAEAIAAAADgAAABkcnMvZG93bnJldi54&#10;bWxQSwECFAAUAAAACACHTuJAeFzcMB0CAABTBAAADgAAAAAAAAABACAAAAA9AQAAZHJzL2Uyb0Rv&#10;Yy54bWxQSwUGAAAAAAYABgBZAQAAzAUAAAAA&#10;">
                <v:fill on="t" focussize="0,0"/>
                <v:stroke color="#000000" joinstyle="miter"/>
                <v:imagedata o:title=""/>
                <o:lock v:ext="edit" aspectratio="f"/>
                <v:textbo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医疗机构申报历史量和需求量</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right="508" w:rightChars="231" w:firstLine="4440" w:firstLineChars="1850"/>
        <w:jc w:val="left"/>
        <w:textAlignment w:val="auto"/>
        <w:rPr>
          <w:rFonts w:hint="eastAsia" w:ascii="东文宋体" w:hAnsi="东文宋体" w:eastAsia="东文宋体" w:cs="东文宋体"/>
          <w:sz w:val="24"/>
          <w:szCs w:val="24"/>
          <w:highlight w:val="none"/>
        </w:rPr>
      </w:pPr>
      <w:r>
        <w:rPr>
          <w:rFonts w:hint="eastAsia" w:ascii="东文宋体" w:hAnsi="东文宋体" w:eastAsia="东文宋体" w:cs="东文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right="508" w:rightChars="231"/>
        <w:jc w:val="center"/>
        <w:textAlignment w:val="auto"/>
        <w:rPr>
          <w:rFonts w:hint="default" w:ascii="东文宋体" w:hAnsi="东文宋体" w:eastAsia="东文宋体" w:cs="东文宋体"/>
          <w:sz w:val="24"/>
          <w:szCs w:val="24"/>
          <w:highlight w:val="none"/>
          <w:lang w:val="en-US"/>
        </w:rPr>
      </w:pPr>
      <w:r>
        <w:rPr>
          <w:sz w:val="24"/>
          <w:highlight w:val="none"/>
        </w:rPr>
        <mc:AlternateContent>
          <mc:Choice Requires="wps">
            <w:drawing>
              <wp:anchor distT="0" distB="0" distL="114300" distR="114300" simplePos="0" relativeHeight="251660288" behindDoc="1" locked="0" layoutInCell="1" allowOverlap="1">
                <wp:simplePos x="0" y="0"/>
                <wp:positionH relativeFrom="column">
                  <wp:posOffset>1634490</wp:posOffset>
                </wp:positionH>
                <wp:positionV relativeFrom="paragraph">
                  <wp:posOffset>60960</wp:posOffset>
                </wp:positionV>
                <wp:extent cx="2454910" cy="302260"/>
                <wp:effectExtent l="4445" t="4445" r="17145" b="17145"/>
                <wp:wrapNone/>
                <wp:docPr id="1" name="文本框 32"/>
                <wp:cNvGraphicFramePr/>
                <a:graphic xmlns:a="http://schemas.openxmlformats.org/drawingml/2006/main">
                  <a:graphicData uri="http://schemas.microsoft.com/office/word/2010/wordprocessingShape">
                    <wps:wsp>
                      <wps:cNvSpPr txBox="1"/>
                      <wps:spPr>
                        <a:xfrm>
                          <a:off x="0" y="0"/>
                          <a:ext cx="2454910" cy="302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发布采购文件征求意见稿</w:t>
                            </w:r>
                          </w:p>
                        </w:txbxContent>
                      </wps:txbx>
                      <wps:bodyPr wrap="square" upright="1"/>
                    </wps:wsp>
                  </a:graphicData>
                </a:graphic>
              </wp:anchor>
            </w:drawing>
          </mc:Choice>
          <mc:Fallback>
            <w:pict>
              <v:shape id="文本框 32" o:spid="_x0000_s1026" o:spt="202" type="#_x0000_t202" style="position:absolute;left:0pt;margin-left:128.7pt;margin-top:4.8pt;height:23.8pt;width:193.3pt;z-index:-251656192;mso-width-relative:page;mso-height-relative:page;" fillcolor="#FFFFFF" filled="t" stroked="t" coordsize="21600,21600" o:gfxdata="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DdZ/Kf2AAAAAgBAAAPAAAAAAAAAAEAIAAAADgAAABkcnMvZG93bnJldi54&#10;bWxQSwECFAAUAAAACACHTuJAak8ofR0CAABTBAAADgAAAAAAAAABACAAAAA9AQAAZHJzL2Uyb0Rv&#10;Yy54bWxQSwUGAAAAAAYABgBZAQAAzAUAAAAA&#10;">
                <v:fill on="t" focussize="0,0"/>
                <v:stroke color="#000000" joinstyle="miter"/>
                <v:imagedata o:title=""/>
                <o:lock v:ext="edit" aspectratio="f"/>
                <v:textbox>
                  <w:txbxContent>
                    <w:p>
                      <w:pPr>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发布采购文件征求意见稿</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right="508" w:rightChars="231" w:firstLine="4440" w:firstLineChars="1850"/>
        <w:jc w:val="left"/>
        <w:textAlignment w:val="auto"/>
        <w:rPr>
          <w:rFonts w:hint="default" w:ascii="东文宋体" w:hAnsi="东文宋体" w:eastAsia="东文宋体" w:cs="东文宋体"/>
          <w:sz w:val="24"/>
          <w:szCs w:val="24"/>
          <w:highlight w:val="none"/>
          <w:lang w:val="en-US" w:eastAsia="zh-CN"/>
        </w:rPr>
      </w:pPr>
      <w:r>
        <w:rPr>
          <w:rFonts w:hint="eastAsia" w:ascii="东文宋体" w:hAnsi="东文宋体" w:eastAsia="东文宋体" w:cs="东文宋体"/>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508" w:rightChars="231"/>
        <w:jc w:val="center"/>
        <w:textAlignment w:val="auto"/>
        <w:rPr>
          <w:rFonts w:hint="default" w:ascii="东文宋体" w:hAnsi="东文宋体" w:eastAsia="东文宋体" w:cs="东文宋体"/>
          <w:sz w:val="24"/>
          <w:szCs w:val="24"/>
          <w:highlight w:val="none"/>
          <w:lang w:val="en-US" w:eastAsia="zh-CN"/>
        </w:rPr>
      </w:pPr>
      <w:r>
        <w:rPr>
          <w:sz w:val="24"/>
          <w:highlight w:val="none"/>
        </w:rPr>
        <mc:AlternateContent>
          <mc:Choice Requires="wps">
            <w:drawing>
              <wp:anchor distT="0" distB="0" distL="114300" distR="114300" simplePos="0" relativeHeight="251661312" behindDoc="1" locked="0" layoutInCell="1" allowOverlap="1">
                <wp:simplePos x="0" y="0"/>
                <wp:positionH relativeFrom="column">
                  <wp:posOffset>1642745</wp:posOffset>
                </wp:positionH>
                <wp:positionV relativeFrom="paragraph">
                  <wp:posOffset>59055</wp:posOffset>
                </wp:positionV>
                <wp:extent cx="2454910" cy="302260"/>
                <wp:effectExtent l="4445" t="4445" r="17145" b="17145"/>
                <wp:wrapNone/>
                <wp:docPr id="2" name="文本框 34"/>
                <wp:cNvGraphicFramePr/>
                <a:graphic xmlns:a="http://schemas.openxmlformats.org/drawingml/2006/main">
                  <a:graphicData uri="http://schemas.microsoft.com/office/word/2010/wordprocessingShape">
                    <wps:wsp>
                      <wps:cNvSpPr txBox="1"/>
                      <wps:spPr>
                        <a:xfrm>
                          <a:off x="0" y="0"/>
                          <a:ext cx="2454910" cy="302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公布采购文件</w:t>
                            </w:r>
                          </w:p>
                          <w:p>
                            <w:pPr>
                              <w:rPr>
                                <w:rFonts w:hint="eastAsia"/>
                                <w:lang w:eastAsia="zh-CN"/>
                              </w:rPr>
                            </w:pPr>
                          </w:p>
                        </w:txbxContent>
                      </wps:txbx>
                      <wps:bodyPr wrap="square" upright="1"/>
                    </wps:wsp>
                  </a:graphicData>
                </a:graphic>
              </wp:anchor>
            </w:drawing>
          </mc:Choice>
          <mc:Fallback>
            <w:pict>
              <v:shape id="文本框 34" o:spid="_x0000_s1026" o:spt="202" type="#_x0000_t202" style="position:absolute;left:0pt;margin-left:129.35pt;margin-top:4.65pt;height:23.8pt;width:193.3pt;z-index:-251655168;mso-width-relative:page;mso-height-relative:page;" fillcolor="#FFFFFF" filled="t" stroked="t" coordsize="21600,21600" o:gfxdata="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Bnsv9rZAAAACAEAAA8AAAAAAAAAAQAgAAAAOAAAAGRycy9kb3ducmV2&#10;LnhtbFBLAQIUABQAAAAIAIdO4kBtt1pbHgIAAFMEAAAOAAAAAAAAAAEAIAAAAD4BAABkcnMvZTJv&#10;RG9jLnhtbFBLBQYAAAAABgAGAFkBAADOBQAAAAA=&#10;">
                <v:fill on="t" focussize="0,0"/>
                <v:stroke color="#000000" joinstyle="miter"/>
                <v:imagedata o:title=""/>
                <o:lock v:ext="edit" aspectratio="f"/>
                <v:textbox>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公布采购文件</w:t>
                      </w:r>
                    </w:p>
                    <w:p>
                      <w:pPr>
                        <w:rPr>
                          <w:rFonts w:hint="eastAsia"/>
                          <w:lang w:eastAsia="zh-CN"/>
                        </w:rPr>
                      </w:pPr>
                    </w:p>
                  </w:txbxContent>
                </v:textbox>
              </v:shape>
            </w:pict>
          </mc:Fallback>
        </mc:AlternateContent>
      </w:r>
    </w:p>
    <w:p>
      <w:pPr>
        <w:keepNext w:val="0"/>
        <w:keepLines w:val="0"/>
        <w:pageBreakBefore w:val="0"/>
        <w:widowControl w:val="0"/>
        <w:tabs>
          <w:tab w:val="left" w:pos="1925"/>
          <w:tab w:val="center" w:pos="5155"/>
        </w:tabs>
        <w:kinsoku/>
        <w:wordWrap/>
        <w:overflowPunct/>
        <w:topLinePunct w:val="0"/>
        <w:autoSpaceDE/>
        <w:autoSpaceDN/>
        <w:bidi w:val="0"/>
        <w:adjustRightInd/>
        <w:snapToGrid/>
        <w:spacing w:line="560" w:lineRule="exact"/>
        <w:ind w:right="508" w:rightChars="231" w:firstLine="4070" w:firstLineChars="1850"/>
        <w:jc w:val="left"/>
        <w:textAlignment w:val="auto"/>
        <w:rPr>
          <w:rFonts w:hint="default" w:eastAsia="仿宋"/>
          <w:sz w:val="24"/>
          <w:szCs w:val="24"/>
          <w:highlight w:val="none"/>
          <w:lang w:val="en-US" w:eastAsia="zh-CN"/>
        </w:rPr>
      </w:pPr>
      <w:r>
        <w:rPr>
          <w:rFonts w:hint="eastAsia"/>
          <w:highlight w:val="none"/>
          <w:lang w:val="en-US" w:eastAsia="zh-CN"/>
        </w:rPr>
        <w:t xml:space="preserve">   </w:t>
      </w:r>
      <w:r>
        <w:rPr>
          <w:rFonts w:hint="eastAsia" w:ascii="东文宋体" w:hAnsi="东文宋体" w:eastAsia="东文宋体" w:cs="东文宋体"/>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508" w:rightChars="231"/>
        <w:jc w:val="center"/>
        <w:textAlignment w:val="auto"/>
        <w:rPr>
          <w:rFonts w:hint="eastAsia"/>
          <w:sz w:val="24"/>
          <w:szCs w:val="24"/>
          <w:highlight w:val="none"/>
        </w:rPr>
      </w:pPr>
      <w:r>
        <w:rPr>
          <w:sz w:val="24"/>
          <w:highlight w:val="none"/>
        </w:rPr>
        <mc:AlternateContent>
          <mc:Choice Requires="wps">
            <w:drawing>
              <wp:anchor distT="0" distB="0" distL="114300" distR="114300" simplePos="0" relativeHeight="251663360" behindDoc="0" locked="0" layoutInCell="1" allowOverlap="1">
                <wp:simplePos x="0" y="0"/>
                <wp:positionH relativeFrom="column">
                  <wp:posOffset>1626870</wp:posOffset>
                </wp:positionH>
                <wp:positionV relativeFrom="paragraph">
                  <wp:posOffset>85090</wp:posOffset>
                </wp:positionV>
                <wp:extent cx="2477770" cy="302260"/>
                <wp:effectExtent l="4445" t="4445" r="13335" b="17145"/>
                <wp:wrapNone/>
                <wp:docPr id="8" name="文本框 35"/>
                <wp:cNvGraphicFramePr/>
                <a:graphic xmlns:a="http://schemas.openxmlformats.org/drawingml/2006/main">
                  <a:graphicData uri="http://schemas.microsoft.com/office/word/2010/wordprocessingShape">
                    <wps:wsp>
                      <wps:cNvSpPr txBox="1"/>
                      <wps:spPr>
                        <a:xfrm>
                          <a:off x="0" y="0"/>
                          <a:ext cx="2454910" cy="302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网上申报企业及产品资料</w:t>
                            </w:r>
                          </w:p>
                          <w:p>
                            <w:pPr>
                              <w:rPr>
                                <w:rFonts w:hint="default"/>
                                <w:lang w:val="en-US" w:eastAsia="zh-CN"/>
                              </w:rPr>
                            </w:pPr>
                            <w:r>
                              <w:rPr>
                                <w:rFonts w:hint="eastAsia"/>
                                <w:lang w:val="en-US" w:eastAsia="zh-CN"/>
                              </w:rPr>
                              <w:t xml:space="preserve"> </w:t>
                            </w:r>
                          </w:p>
                        </w:txbxContent>
                      </wps:txbx>
                      <wps:bodyPr wrap="square" upright="1"/>
                    </wps:wsp>
                  </a:graphicData>
                </a:graphic>
              </wp:anchor>
            </w:drawing>
          </mc:Choice>
          <mc:Fallback>
            <w:pict>
              <v:shape id="文本框 35" o:spid="_x0000_s1026" o:spt="202" type="#_x0000_t202" style="position:absolute;left:0pt;margin-left:128.1pt;margin-top:6.7pt;height:23.8pt;width:195.1pt;z-index:251663360;mso-width-relative:page;mso-height-relative:page;" fillcolor="#FFFFFF" filled="t" stroked="t" coordsize="21600,21600" o:gfxdata="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Bpe7NO1wAAAAkBAAAPAAAAAAAAAAEAIAAAADgAAABkcnMvZG93bnJldi54&#10;bWxQSwECFAAUAAAACACHTuJABVVfKh4CAABTBAAADgAAAAAAAAABACAAAAA8AQAAZHJzL2Uyb0Rv&#10;Yy54bWxQSwUGAAAAAAYABgBZAQAAzAUAAAAA&#10;">
                <v:fill on="t" focussize="0,0"/>
                <v:stroke color="#000000" joinstyle="miter"/>
                <v:imagedata o:title=""/>
                <o:lock v:ext="edit" aspectratio="f"/>
                <v:textbo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网上申报企业及产品资料</w:t>
                      </w:r>
                    </w:p>
                    <w:p>
                      <w:pPr>
                        <w:rPr>
                          <w:rFonts w:hint="default"/>
                          <w:lang w:val="en-US" w:eastAsia="zh-CN"/>
                        </w:rPr>
                      </w:pPr>
                      <w:r>
                        <w:rPr>
                          <w:rFonts w:hint="eastAsia"/>
                          <w:lang w:val="en-US" w:eastAsia="zh-CN"/>
                        </w:rPr>
                        <w:t xml:space="preserve"> </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right="508" w:rightChars="231" w:firstLine="4440" w:firstLineChars="1850"/>
        <w:jc w:val="left"/>
        <w:textAlignment w:val="auto"/>
        <w:rPr>
          <w:rFonts w:hint="eastAsia"/>
          <w:sz w:val="24"/>
          <w:szCs w:val="24"/>
          <w:highlight w:val="none"/>
        </w:rPr>
      </w:pPr>
      <w:r>
        <w:rPr>
          <w:rFonts w:hint="eastAsia" w:ascii="东文宋体" w:hAnsi="东文宋体" w:eastAsia="东文宋体" w:cs="东文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right="508" w:rightChars="231"/>
        <w:jc w:val="center"/>
        <w:textAlignment w:val="auto"/>
        <w:rPr>
          <w:rFonts w:hint="eastAsia"/>
          <w:sz w:val="24"/>
          <w:szCs w:val="24"/>
          <w:highlight w:val="none"/>
        </w:rPr>
      </w:pPr>
      <w:r>
        <w:rPr>
          <w:sz w:val="24"/>
          <w:highlight w:val="none"/>
        </w:rPr>
        <mc:AlternateContent>
          <mc:Choice Requires="wps">
            <w:drawing>
              <wp:anchor distT="0" distB="0" distL="114300" distR="114300" simplePos="0" relativeHeight="251664384" behindDoc="0" locked="0" layoutInCell="1" allowOverlap="1">
                <wp:simplePos x="0" y="0"/>
                <wp:positionH relativeFrom="column">
                  <wp:posOffset>1649730</wp:posOffset>
                </wp:positionH>
                <wp:positionV relativeFrom="paragraph">
                  <wp:posOffset>73025</wp:posOffset>
                </wp:positionV>
                <wp:extent cx="2454910" cy="302260"/>
                <wp:effectExtent l="4445" t="4445" r="17145" b="17145"/>
                <wp:wrapNone/>
                <wp:docPr id="9" name="文本框 36"/>
                <wp:cNvGraphicFramePr/>
                <a:graphic xmlns:a="http://schemas.openxmlformats.org/drawingml/2006/main">
                  <a:graphicData uri="http://schemas.microsoft.com/office/word/2010/wordprocessingShape">
                    <wps:wsp>
                      <wps:cNvSpPr txBox="1"/>
                      <wps:spPr>
                        <a:xfrm>
                          <a:off x="0" y="0"/>
                          <a:ext cx="2454910" cy="302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资质审核</w:t>
                            </w:r>
                          </w:p>
                          <w:p>
                            <w:pPr>
                              <w:rPr>
                                <w:rFonts w:hint="eastAsia"/>
                              </w:rPr>
                            </w:pPr>
                          </w:p>
                        </w:txbxContent>
                      </wps:txbx>
                      <wps:bodyPr wrap="square" upright="1"/>
                    </wps:wsp>
                  </a:graphicData>
                </a:graphic>
              </wp:anchor>
            </w:drawing>
          </mc:Choice>
          <mc:Fallback>
            <w:pict>
              <v:shape id="文本框 36" o:spid="_x0000_s1026" o:spt="202" type="#_x0000_t202" style="position:absolute;left:0pt;margin-left:129.9pt;margin-top:5.75pt;height:23.8pt;width:193.3pt;z-index:251664384;mso-width-relative:page;mso-height-relative:page;" fillcolor="#FFFFFF" filled="t" stroked="t" coordsize="21600,21600" o:gfxdata="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DeYvMu2AAAAAkBAAAPAAAAAAAAAAEAIAAAADgAAABkcnMvZG93bnJldi54&#10;bWxQSwECFAAUAAAACACHTuJAwYdv4x0CAABTBAAADgAAAAAAAAABACAAAAA9AQAAZHJzL2Uyb0Rv&#10;Yy54bWxQSwUGAAAAAAYABgBZAQAAzAUAAAAA&#10;">
                <v:fill on="t" focussize="0,0"/>
                <v:stroke color="#000000" joinstyle="miter"/>
                <v:imagedata o:title=""/>
                <o:lock v:ext="edit" aspectratio="f"/>
                <v:textbo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资质审核</w:t>
                      </w:r>
                    </w:p>
                    <w:p>
                      <w:pPr>
                        <w:rPr>
                          <w:rFonts w:hint="eastAsia"/>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right="508" w:rightChars="231" w:firstLine="4440" w:firstLineChars="1850"/>
        <w:jc w:val="left"/>
        <w:textAlignment w:val="auto"/>
        <w:rPr>
          <w:rFonts w:hint="eastAsia"/>
          <w:sz w:val="24"/>
          <w:szCs w:val="24"/>
          <w:highlight w:val="none"/>
        </w:rPr>
      </w:pPr>
      <w:r>
        <w:rPr>
          <w:rFonts w:hint="eastAsia" w:ascii="东文宋体" w:hAnsi="东文宋体" w:eastAsia="东文宋体" w:cs="东文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right="508" w:rightChars="231"/>
        <w:jc w:val="center"/>
        <w:textAlignment w:val="auto"/>
        <w:rPr>
          <w:rFonts w:hint="eastAsia"/>
          <w:sz w:val="24"/>
          <w:szCs w:val="24"/>
          <w:highlight w:val="none"/>
        </w:rPr>
      </w:pPr>
      <w:r>
        <w:rPr>
          <w:sz w:val="24"/>
          <w:highlight w:val="none"/>
        </w:rPr>
        <mc:AlternateContent>
          <mc:Choice Requires="wps">
            <w:drawing>
              <wp:anchor distT="0" distB="0" distL="114300" distR="114300" simplePos="0" relativeHeight="251665408" behindDoc="0" locked="0" layoutInCell="1" allowOverlap="1">
                <wp:simplePos x="0" y="0"/>
                <wp:positionH relativeFrom="column">
                  <wp:posOffset>1650365</wp:posOffset>
                </wp:positionH>
                <wp:positionV relativeFrom="paragraph">
                  <wp:posOffset>91440</wp:posOffset>
                </wp:positionV>
                <wp:extent cx="2454910" cy="302260"/>
                <wp:effectExtent l="4445" t="4445" r="17145" b="17145"/>
                <wp:wrapNone/>
                <wp:docPr id="10" name="文本框 37"/>
                <wp:cNvGraphicFramePr/>
                <a:graphic xmlns:a="http://schemas.openxmlformats.org/drawingml/2006/main">
                  <a:graphicData uri="http://schemas.microsoft.com/office/word/2010/wordprocessingShape">
                    <wps:wsp>
                      <wps:cNvSpPr txBox="1"/>
                      <wps:spPr>
                        <a:xfrm>
                          <a:off x="0" y="0"/>
                          <a:ext cx="2454910" cy="302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公示企业及产品申报情况</w:t>
                            </w:r>
                          </w:p>
                          <w:p>
                            <w:pPr>
                              <w:jc w:val="center"/>
                              <w:rPr>
                                <w:rFonts w:hint="eastAsia" w:ascii="仿宋_GB2312" w:hAnsi="仿宋_GB2312" w:eastAsia="仿宋_GB2312" w:cs="仿宋_GB2312"/>
                                <w:sz w:val="24"/>
                                <w:szCs w:val="24"/>
                              </w:rPr>
                            </w:pPr>
                          </w:p>
                        </w:txbxContent>
                      </wps:txbx>
                      <wps:bodyPr wrap="square" upright="1"/>
                    </wps:wsp>
                  </a:graphicData>
                </a:graphic>
              </wp:anchor>
            </w:drawing>
          </mc:Choice>
          <mc:Fallback>
            <w:pict>
              <v:shape id="文本框 37" o:spid="_x0000_s1026" o:spt="202" type="#_x0000_t202" style="position:absolute;left:0pt;margin-left:129.95pt;margin-top:7.2pt;height:23.8pt;width:193.3pt;z-index:251665408;mso-width-relative:page;mso-height-relative:page;" fillcolor="#FFFFFF" filled="t" stroked="t" coordsize="21600,21600" o:gfxdata="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C00Kj9kAAAAJAQAADwAAAAAAAAABACAAAAA4AAAAZHJzL2Rvd25yZXYu&#10;eG1sUEsBAhQAFAAAAAgAh07iQHMW7g0dAgAAVAQAAA4AAAAAAAAAAQAgAAAAPgEAAGRycy9lMm9E&#10;b2MueG1sUEsFBgAAAAAGAAYAWQEAAM0FAAAAAA==&#10;">
                <v:fill on="t" focussize="0,0"/>
                <v:stroke color="#000000" joinstyle="miter"/>
                <v:imagedata o:title=""/>
                <o:lock v:ext="edit" aspectratio="f"/>
                <v:textbox>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公示企业及产品申报情况</w:t>
                      </w:r>
                    </w:p>
                    <w:p>
                      <w:pPr>
                        <w:jc w:val="center"/>
                        <w:rPr>
                          <w:rFonts w:hint="eastAsia" w:ascii="仿宋_GB2312" w:hAnsi="仿宋_GB2312" w:eastAsia="仿宋_GB2312" w:cs="仿宋_GB2312"/>
                          <w:sz w:val="24"/>
                          <w:szCs w:val="24"/>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right="508" w:rightChars="231" w:firstLine="4440" w:firstLineChars="1850"/>
        <w:jc w:val="left"/>
        <w:textAlignment w:val="auto"/>
        <w:rPr>
          <w:rFonts w:hint="eastAsia" w:ascii="东文宋体" w:hAnsi="东文宋体" w:eastAsia="东文宋体" w:cs="东文宋体"/>
          <w:sz w:val="24"/>
          <w:szCs w:val="24"/>
          <w:highlight w:val="none"/>
        </w:rPr>
      </w:pPr>
      <w:r>
        <w:rPr>
          <w:rFonts w:hint="eastAsia" w:ascii="东文宋体" w:hAnsi="东文宋体" w:eastAsia="东文宋体" w:cs="东文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right="508" w:rightChars="231" w:firstLine="4440" w:firstLineChars="1850"/>
        <w:jc w:val="left"/>
        <w:textAlignment w:val="auto"/>
        <w:rPr>
          <w:rFonts w:hint="eastAsia" w:ascii="东文宋体" w:hAnsi="东文宋体" w:eastAsia="东文宋体" w:cs="东文宋体"/>
          <w:sz w:val="24"/>
          <w:szCs w:val="24"/>
          <w:highlight w:val="none"/>
        </w:rPr>
      </w:pPr>
      <w:r>
        <w:rPr>
          <w:sz w:val="24"/>
          <w:highlight w:val="none"/>
        </w:rPr>
        <mc:AlternateContent>
          <mc:Choice Requires="wps">
            <w:drawing>
              <wp:anchor distT="0" distB="0" distL="114300" distR="114300" simplePos="0" relativeHeight="251677696" behindDoc="0" locked="0" layoutInCell="1" allowOverlap="1">
                <wp:simplePos x="0" y="0"/>
                <wp:positionH relativeFrom="column">
                  <wp:posOffset>1668145</wp:posOffset>
                </wp:positionH>
                <wp:positionV relativeFrom="paragraph">
                  <wp:posOffset>23495</wp:posOffset>
                </wp:positionV>
                <wp:extent cx="2454910" cy="302260"/>
                <wp:effectExtent l="6350" t="6350" r="27940" b="21590"/>
                <wp:wrapNone/>
                <wp:docPr id="3" name="文本框 40"/>
                <wp:cNvGraphicFramePr/>
                <a:graphic xmlns:a="http://schemas.openxmlformats.org/drawingml/2006/main">
                  <a:graphicData uri="http://schemas.microsoft.com/office/word/2010/wordprocessingShape">
                    <wps:wsp>
                      <wps:cNvSpPr txBox="1"/>
                      <wps:spPr>
                        <a:xfrm>
                          <a:off x="0" y="0"/>
                          <a:ext cx="2454910" cy="302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仿宋_GB2312"/>
                                <w:spacing w:val="-6"/>
                                <w:lang w:val="en-US" w:eastAsia="zh-CN"/>
                              </w:rPr>
                            </w:pPr>
                            <w:r>
                              <w:rPr>
                                <w:rFonts w:hint="eastAsia" w:ascii="仿宋_GB2312" w:hAnsi="仿宋_GB2312" w:eastAsia="仿宋_GB2312" w:cs="仿宋_GB2312"/>
                                <w:spacing w:val="-6"/>
                                <w:sz w:val="24"/>
                                <w:szCs w:val="24"/>
                              </w:rPr>
                              <w:t>公布符合申报条件企业及产品</w:t>
                            </w:r>
                            <w:r>
                              <w:rPr>
                                <w:rFonts w:hint="eastAsia" w:ascii="仿宋_GB2312" w:hAnsi="仿宋_GB2312" w:eastAsia="仿宋_GB2312" w:cs="仿宋_GB2312"/>
                                <w:spacing w:val="-6"/>
                                <w:sz w:val="24"/>
                                <w:szCs w:val="24"/>
                                <w:lang w:eastAsia="zh-CN"/>
                              </w:rPr>
                              <w:t>名单</w:t>
                            </w:r>
                          </w:p>
                        </w:txbxContent>
                      </wps:txbx>
                      <wps:bodyPr wrap="square" upright="1"/>
                    </wps:wsp>
                  </a:graphicData>
                </a:graphic>
              </wp:anchor>
            </w:drawing>
          </mc:Choice>
          <mc:Fallback>
            <w:pict>
              <v:shape id="文本框 40" o:spid="_x0000_s1026" o:spt="202" type="#_x0000_t202" style="position:absolute;left:0pt;margin-left:131.35pt;margin-top:1.85pt;height:23.8pt;width:193.3pt;z-index:251677696;mso-width-relative:page;mso-height-relative:page;" fillcolor="#FFFFFF" filled="t" stroked="t" coordsize="21600,21600" o:gfxdata="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9FtaktkAAAAIAQAADwAAAAAAAAABACAAAAA4AAAAZHJzL2Rvd25yZXYu&#10;eG1sUEsBAhQAFAAAAAgAh07iQCcTGJUdAgAAUwQAAA4AAAAAAAAAAQAgAAAAPgEAAGRycy9lMm9E&#10;b2MueG1sUEsFBgAAAAAGAAYAWQEAAM0FAAAAAA==&#10;">
                <v:fill on="t" focussize="0,0"/>
                <v:stroke color="#000000" joinstyle="miter"/>
                <v:imagedata o:title=""/>
                <o:lock v:ext="edit" aspectratio="f"/>
                <v:textbox>
                  <w:txbxContent>
                    <w:p>
                      <w:pPr>
                        <w:rPr>
                          <w:rFonts w:hint="eastAsia" w:eastAsia="仿宋_GB2312"/>
                          <w:spacing w:val="-6"/>
                          <w:lang w:val="en-US" w:eastAsia="zh-CN"/>
                        </w:rPr>
                      </w:pPr>
                      <w:r>
                        <w:rPr>
                          <w:rFonts w:hint="eastAsia" w:ascii="仿宋_GB2312" w:hAnsi="仿宋_GB2312" w:eastAsia="仿宋_GB2312" w:cs="仿宋_GB2312"/>
                          <w:spacing w:val="-6"/>
                          <w:sz w:val="24"/>
                          <w:szCs w:val="24"/>
                        </w:rPr>
                        <w:t>公布符合申报条件企业及产品</w:t>
                      </w:r>
                      <w:r>
                        <w:rPr>
                          <w:rFonts w:hint="eastAsia" w:ascii="仿宋_GB2312" w:hAnsi="仿宋_GB2312" w:eastAsia="仿宋_GB2312" w:cs="仿宋_GB2312"/>
                          <w:spacing w:val="-6"/>
                          <w:sz w:val="24"/>
                          <w:szCs w:val="24"/>
                          <w:lang w:eastAsia="zh-CN"/>
                        </w:rPr>
                        <w:t>名单</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right="508" w:rightChars="231" w:firstLine="4440" w:firstLineChars="1850"/>
        <w:jc w:val="left"/>
        <w:textAlignment w:val="auto"/>
        <w:rPr>
          <w:rFonts w:hint="eastAsia" w:ascii="东文宋体" w:hAnsi="东文宋体" w:eastAsia="东文宋体" w:cs="东文宋体"/>
          <w:sz w:val="24"/>
          <w:szCs w:val="24"/>
          <w:highlight w:val="none"/>
        </w:rPr>
      </w:pPr>
      <w:r>
        <w:rPr>
          <w:rFonts w:hint="eastAsia" w:ascii="东文宋体" w:hAnsi="东文宋体" w:eastAsia="东文宋体" w:cs="东文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508" w:rightChars="231"/>
        <w:jc w:val="center"/>
        <w:textAlignment w:val="auto"/>
        <w:rPr>
          <w:rFonts w:hint="default" w:eastAsia="宋体"/>
          <w:sz w:val="24"/>
          <w:szCs w:val="24"/>
          <w:highlight w:val="none"/>
          <w:lang w:val="en-US" w:eastAsia="zh-CN"/>
        </w:rPr>
      </w:pPr>
      <w:r>
        <w:rPr>
          <w:sz w:val="24"/>
          <w:highlight w:val="none"/>
        </w:rPr>
        <mc:AlternateContent>
          <mc:Choice Requires="wps">
            <w:drawing>
              <wp:anchor distT="0" distB="0" distL="114300" distR="114300" simplePos="0" relativeHeight="251666432" behindDoc="0" locked="0" layoutInCell="1" allowOverlap="1">
                <wp:simplePos x="0" y="0"/>
                <wp:positionH relativeFrom="column">
                  <wp:posOffset>1670685</wp:posOffset>
                </wp:positionH>
                <wp:positionV relativeFrom="paragraph">
                  <wp:posOffset>41275</wp:posOffset>
                </wp:positionV>
                <wp:extent cx="2454910" cy="302260"/>
                <wp:effectExtent l="4445" t="4445" r="17145" b="17145"/>
                <wp:wrapNone/>
                <wp:docPr id="13" name="文本框 40"/>
                <wp:cNvGraphicFramePr/>
                <a:graphic xmlns:a="http://schemas.openxmlformats.org/drawingml/2006/main">
                  <a:graphicData uri="http://schemas.microsoft.com/office/word/2010/wordprocessingShape">
                    <wps:wsp>
                      <wps:cNvSpPr txBox="1"/>
                      <wps:spPr>
                        <a:xfrm>
                          <a:off x="0" y="0"/>
                          <a:ext cx="2454910" cy="302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仿宋_GB2312"/>
                                <w:lang w:val="en-US" w:eastAsia="zh-CN"/>
                              </w:rPr>
                            </w:pPr>
                            <w:r>
                              <w:rPr>
                                <w:rFonts w:hint="eastAsia" w:ascii="仿宋_GB2312" w:hAnsi="仿宋_GB2312" w:eastAsia="仿宋_GB2312" w:cs="仿宋_GB2312"/>
                                <w:sz w:val="24"/>
                                <w:szCs w:val="24"/>
                                <w:lang w:eastAsia="zh-CN"/>
                              </w:rPr>
                              <w:t>报价</w:t>
                            </w:r>
                            <w:r>
                              <w:rPr>
                                <w:rFonts w:hint="eastAsia" w:ascii="仿宋_GB2312" w:hAnsi="仿宋_GB2312" w:eastAsia="仿宋_GB2312" w:cs="仿宋_GB2312"/>
                                <w:sz w:val="24"/>
                                <w:szCs w:val="24"/>
                                <w:lang w:val="en-US" w:eastAsia="zh-CN"/>
                              </w:rPr>
                              <w:t>产生拟中选结果</w:t>
                            </w:r>
                          </w:p>
                        </w:txbxContent>
                      </wps:txbx>
                      <wps:bodyPr wrap="square" upright="1"/>
                    </wps:wsp>
                  </a:graphicData>
                </a:graphic>
              </wp:anchor>
            </w:drawing>
          </mc:Choice>
          <mc:Fallback>
            <w:pict>
              <v:shape id="文本框 40" o:spid="_x0000_s1026" o:spt="202" type="#_x0000_t202" style="position:absolute;left:0pt;margin-left:131.55pt;margin-top:3.25pt;height:23.8pt;width:193.3pt;z-index:251666432;mso-width-relative:page;mso-height-relative:page;" fillcolor="#FFFFFF" filled="t" stroked="t" coordsize="21600,21600" o:gfxdata="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rQAn0NkAAAAIAQAADwAAAAAAAAABACAAAAA4AAAAZHJzL2Rvd25yZXYu&#10;eG1sUEsBAhQAFAAAAAgAh07iQK+MOrsdAgAAVAQAAA4AAAAAAAAAAQAgAAAAPgEAAGRycy9lMm9E&#10;b2MueG1sUEsFBgAAAAAGAAYAWQEAAM0FAAAAAA==&#10;">
                <v:fill on="t" focussize="0,0"/>
                <v:stroke color="#000000" joinstyle="miter"/>
                <v:imagedata o:title=""/>
                <o:lock v:ext="edit" aspectratio="f"/>
                <v:textbox>
                  <w:txbxContent>
                    <w:p>
                      <w:pPr>
                        <w:jc w:val="center"/>
                        <w:rPr>
                          <w:rFonts w:hint="default" w:eastAsia="仿宋_GB2312"/>
                          <w:lang w:val="en-US" w:eastAsia="zh-CN"/>
                        </w:rPr>
                      </w:pPr>
                      <w:r>
                        <w:rPr>
                          <w:rFonts w:hint="eastAsia" w:ascii="仿宋_GB2312" w:hAnsi="仿宋_GB2312" w:eastAsia="仿宋_GB2312" w:cs="仿宋_GB2312"/>
                          <w:sz w:val="24"/>
                          <w:szCs w:val="24"/>
                          <w:lang w:eastAsia="zh-CN"/>
                        </w:rPr>
                        <w:t>报价</w:t>
                      </w:r>
                      <w:r>
                        <w:rPr>
                          <w:rFonts w:hint="eastAsia" w:ascii="仿宋_GB2312" w:hAnsi="仿宋_GB2312" w:eastAsia="仿宋_GB2312" w:cs="仿宋_GB2312"/>
                          <w:sz w:val="24"/>
                          <w:szCs w:val="24"/>
                          <w:lang w:val="en-US" w:eastAsia="zh-CN"/>
                        </w:rPr>
                        <w:t>产生拟中选结果</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right="508" w:rightChars="231" w:firstLine="4440" w:firstLineChars="1850"/>
        <w:jc w:val="left"/>
        <w:textAlignment w:val="auto"/>
        <w:rPr>
          <w:rFonts w:hint="eastAsia" w:eastAsia="宋体"/>
          <w:sz w:val="24"/>
          <w:szCs w:val="24"/>
          <w:highlight w:val="none"/>
          <w:lang w:eastAsia="zh-CN"/>
        </w:rPr>
      </w:pPr>
      <w:r>
        <w:rPr>
          <w:rFonts w:hint="eastAsia" w:ascii="东文宋体" w:hAnsi="东文宋体" w:eastAsia="东文宋体" w:cs="东文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508" w:rightChars="231"/>
        <w:jc w:val="center"/>
        <w:textAlignment w:val="auto"/>
        <w:rPr>
          <w:rFonts w:hint="eastAsia"/>
          <w:sz w:val="24"/>
          <w:szCs w:val="24"/>
          <w:highlight w:val="none"/>
        </w:rPr>
      </w:pPr>
      <w:r>
        <w:rPr>
          <w:sz w:val="24"/>
          <w:highlight w:val="none"/>
        </w:rPr>
        <mc:AlternateContent>
          <mc:Choice Requires="wps">
            <w:drawing>
              <wp:anchor distT="0" distB="0" distL="114300" distR="114300" simplePos="0" relativeHeight="251667456" behindDoc="0" locked="0" layoutInCell="1" allowOverlap="1">
                <wp:simplePos x="0" y="0"/>
                <wp:positionH relativeFrom="column">
                  <wp:posOffset>1659255</wp:posOffset>
                </wp:positionH>
                <wp:positionV relativeFrom="paragraph">
                  <wp:posOffset>32385</wp:posOffset>
                </wp:positionV>
                <wp:extent cx="2454910" cy="302260"/>
                <wp:effectExtent l="4445" t="4445" r="17145" b="17145"/>
                <wp:wrapNone/>
                <wp:docPr id="14" name="文本框 41"/>
                <wp:cNvGraphicFramePr/>
                <a:graphic xmlns:a="http://schemas.openxmlformats.org/drawingml/2006/main">
                  <a:graphicData uri="http://schemas.microsoft.com/office/word/2010/wordprocessingShape">
                    <wps:wsp>
                      <wps:cNvSpPr txBox="1"/>
                      <wps:spPr>
                        <a:xfrm>
                          <a:off x="0" y="0"/>
                          <a:ext cx="2454910" cy="302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公示拟中选结果</w:t>
                            </w:r>
                          </w:p>
                          <w:p>
                            <w:pPr>
                              <w:jc w:val="center"/>
                            </w:pPr>
                          </w:p>
                        </w:txbxContent>
                      </wps:txbx>
                      <wps:bodyPr wrap="square" upright="1"/>
                    </wps:wsp>
                  </a:graphicData>
                </a:graphic>
              </wp:anchor>
            </w:drawing>
          </mc:Choice>
          <mc:Fallback>
            <w:pict>
              <v:shape id="文本框 41" o:spid="_x0000_s1026" o:spt="202" type="#_x0000_t202" style="position:absolute;left:0pt;margin-left:130.65pt;margin-top:2.55pt;height:23.8pt;width:193.3pt;z-index:251667456;mso-width-relative:page;mso-height-relative:page;" fillcolor="#FFFFFF" filled="t" stroked="t" coordsize="21600,21600" o:gfxdata="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RQFWB9gAAAAIAQAADwAAAAAAAAABACAAAAA4AAAAZHJzL2Rvd25yZXYu&#10;eG1sUEsBAhQAFAAAAAgAh07iQIKOVQ4eAgAAVAQAAA4AAAAAAAAAAQAgAAAAPQEAAGRycy9lMm9E&#10;b2MueG1sUEsFBgAAAAAGAAYAWQEAAM0FAAAAAA==&#10;">
                <v:fill on="t" focussize="0,0"/>
                <v:stroke color="#000000" joinstyle="miter"/>
                <v:imagedata o:title=""/>
                <o:lock v:ext="edit" aspectratio="f"/>
                <v:textbox>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公示拟中选结果</w:t>
                      </w:r>
                    </w:p>
                    <w:p>
                      <w:pPr>
                        <w:jc w:val="cente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right="508" w:rightChars="231" w:firstLine="4440" w:firstLineChars="1850"/>
        <w:jc w:val="left"/>
        <w:textAlignment w:val="auto"/>
        <w:rPr>
          <w:rFonts w:hint="eastAsia"/>
          <w:sz w:val="24"/>
          <w:szCs w:val="24"/>
          <w:highlight w:val="none"/>
        </w:rPr>
      </w:pPr>
      <w:r>
        <w:rPr>
          <w:rFonts w:hint="eastAsia" w:ascii="东文宋体" w:hAnsi="东文宋体" w:eastAsia="东文宋体" w:cs="东文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right="508" w:rightChars="231"/>
        <w:jc w:val="center"/>
        <w:textAlignment w:val="auto"/>
        <w:rPr>
          <w:rFonts w:hint="eastAsia"/>
          <w:sz w:val="24"/>
          <w:szCs w:val="24"/>
          <w:highlight w:val="none"/>
        </w:rPr>
      </w:pPr>
      <w:r>
        <w:rPr>
          <w:sz w:val="24"/>
          <w:highlight w:val="none"/>
        </w:rPr>
        <mc:AlternateContent>
          <mc:Choice Requires="wps">
            <w:drawing>
              <wp:anchor distT="0" distB="0" distL="114300" distR="114300" simplePos="0" relativeHeight="251668480" behindDoc="0" locked="0" layoutInCell="1" allowOverlap="1">
                <wp:simplePos x="0" y="0"/>
                <wp:positionH relativeFrom="column">
                  <wp:posOffset>1650365</wp:posOffset>
                </wp:positionH>
                <wp:positionV relativeFrom="paragraph">
                  <wp:posOffset>59690</wp:posOffset>
                </wp:positionV>
                <wp:extent cx="2454910" cy="301625"/>
                <wp:effectExtent l="4445" t="4445" r="17145" b="17780"/>
                <wp:wrapNone/>
                <wp:docPr id="15" name="文本框 42"/>
                <wp:cNvGraphicFramePr/>
                <a:graphic xmlns:a="http://schemas.openxmlformats.org/drawingml/2006/main">
                  <a:graphicData uri="http://schemas.microsoft.com/office/word/2010/wordprocessingShape">
                    <wps:wsp>
                      <wps:cNvSpPr txBox="1"/>
                      <wps:spPr>
                        <a:xfrm>
                          <a:off x="0" y="0"/>
                          <a:ext cx="2454910" cy="301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公布中选结果</w:t>
                            </w:r>
                          </w:p>
                          <w:p>
                            <w:pPr>
                              <w:jc w:val="center"/>
                            </w:pPr>
                          </w:p>
                        </w:txbxContent>
                      </wps:txbx>
                      <wps:bodyPr wrap="square" upright="1"/>
                    </wps:wsp>
                  </a:graphicData>
                </a:graphic>
              </wp:anchor>
            </w:drawing>
          </mc:Choice>
          <mc:Fallback>
            <w:pict>
              <v:shape id="文本框 42" o:spid="_x0000_s1026" o:spt="202" type="#_x0000_t202" style="position:absolute;left:0pt;margin-left:129.95pt;margin-top:4.7pt;height:23.75pt;width:193.3pt;z-index:251668480;mso-width-relative:page;mso-height-relative:page;" fillcolor="#FFFFFF" filled="t" stroked="t" coordsize="21600,21600" o:gfxdata="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iC1DtgAAAAIAQAADwAAAAAAAAABACAAAAA4AAAAZHJzL2Rvd25yZXYueG1s&#10;UEsBAhQAFAAAAAgAh07iQDJg2m4bAgAAVAQAAA4AAAAAAAAAAQAgAAAAPQEAAGRycy9lMm9Eb2Mu&#10;eG1sUEsFBgAAAAAGAAYAWQEAAMoFAAAAAA==&#10;">
                <v:fill on="t" focussize="0,0"/>
                <v:stroke color="#000000" joinstyle="miter"/>
                <v:imagedata o:title=""/>
                <o:lock v:ext="edit" aspectratio="f"/>
                <v:textbox>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公布中选结果</w:t>
                      </w:r>
                    </w:p>
                    <w:p>
                      <w:pPr>
                        <w:jc w:val="cente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right="508" w:rightChars="231" w:firstLine="4440" w:firstLineChars="1850"/>
        <w:jc w:val="left"/>
        <w:textAlignment w:val="auto"/>
        <w:rPr>
          <w:rFonts w:hint="eastAsia"/>
          <w:sz w:val="24"/>
          <w:szCs w:val="24"/>
          <w:highlight w:val="none"/>
        </w:rPr>
      </w:pPr>
      <w:r>
        <w:rPr>
          <w:rFonts w:hint="eastAsia" w:ascii="东文宋体" w:hAnsi="东文宋体" w:eastAsia="东文宋体" w:cs="东文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right="508" w:rightChars="231"/>
        <w:jc w:val="center"/>
        <w:textAlignment w:val="auto"/>
        <w:rPr>
          <w:rFonts w:hint="eastAsia"/>
          <w:sz w:val="24"/>
          <w:szCs w:val="24"/>
          <w:highlight w:val="none"/>
        </w:rPr>
      </w:pPr>
      <w:r>
        <w:rPr>
          <w:sz w:val="24"/>
          <w:highlight w:val="none"/>
        </w:rPr>
        <mc:AlternateContent>
          <mc:Choice Requires="wps">
            <w:drawing>
              <wp:anchor distT="0" distB="0" distL="114300" distR="114300" simplePos="0" relativeHeight="251669504" behindDoc="0" locked="0" layoutInCell="1" allowOverlap="1">
                <wp:simplePos x="0" y="0"/>
                <wp:positionH relativeFrom="column">
                  <wp:posOffset>1642110</wp:posOffset>
                </wp:positionH>
                <wp:positionV relativeFrom="paragraph">
                  <wp:posOffset>46355</wp:posOffset>
                </wp:positionV>
                <wp:extent cx="2454910" cy="302260"/>
                <wp:effectExtent l="4445" t="4445" r="17145" b="17145"/>
                <wp:wrapNone/>
                <wp:docPr id="16" name="文本框 43"/>
                <wp:cNvGraphicFramePr/>
                <a:graphic xmlns:a="http://schemas.openxmlformats.org/drawingml/2006/main">
                  <a:graphicData uri="http://schemas.microsoft.com/office/word/2010/wordprocessingShape">
                    <wps:wsp>
                      <wps:cNvSpPr txBox="1"/>
                      <wps:spPr>
                        <a:xfrm>
                          <a:off x="0" y="0"/>
                          <a:ext cx="2454910" cy="302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分配确认协议采购量</w:t>
                            </w:r>
                          </w:p>
                          <w:p>
                            <w:pPr>
                              <w:jc w:val="center"/>
                            </w:pPr>
                          </w:p>
                        </w:txbxContent>
                      </wps:txbx>
                      <wps:bodyPr wrap="square" upright="1"/>
                    </wps:wsp>
                  </a:graphicData>
                </a:graphic>
              </wp:anchor>
            </w:drawing>
          </mc:Choice>
          <mc:Fallback>
            <w:pict>
              <v:shape id="文本框 43" o:spid="_x0000_s1026" o:spt="202" type="#_x0000_t202" style="position:absolute;left:0pt;margin-left:129.3pt;margin-top:3.65pt;height:23.8pt;width:193.3pt;z-index:251669504;mso-width-relative:page;mso-height-relative:page;" fillcolor="#FFFFFF" filled="t" stroked="t" coordsize="21600,21600" o:gfxdata="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JGkilHZAAAACAEAAA8AAAAAAAAAAQAgAAAAOAAAAGRycy9kb3ducmV2&#10;LnhtbFBLAQIUABQAAAAIAIdO4kASN/IUHgIAAFQEAAAOAAAAAAAAAAEAIAAAAD4BAABkcnMvZTJv&#10;RG9jLnhtbFBLBQYAAAAABgAGAFkBAADOBQAAAAA=&#10;">
                <v:fill on="t" focussize="0,0"/>
                <v:stroke color="#000000" joinstyle="miter"/>
                <v:imagedata o:title=""/>
                <o:lock v:ext="edit" aspectratio="f"/>
                <v:textbox>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分配确认协议采购量</w:t>
                      </w:r>
                    </w:p>
                    <w:p>
                      <w:pPr>
                        <w:jc w:val="cente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right="508" w:rightChars="231" w:firstLine="4440" w:firstLineChars="1850"/>
        <w:jc w:val="left"/>
        <w:textAlignment w:val="auto"/>
        <w:rPr>
          <w:rFonts w:hint="eastAsia"/>
          <w:sz w:val="24"/>
          <w:szCs w:val="24"/>
          <w:highlight w:val="none"/>
        </w:rPr>
      </w:pPr>
      <w:r>
        <w:rPr>
          <w:rFonts w:hint="eastAsia" w:ascii="东文宋体" w:hAnsi="东文宋体" w:eastAsia="东文宋体" w:cs="东文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right="508" w:rightChars="231"/>
        <w:jc w:val="center"/>
        <w:textAlignment w:val="auto"/>
        <w:rPr>
          <w:rFonts w:hint="eastAsia"/>
          <w:sz w:val="24"/>
          <w:szCs w:val="24"/>
          <w:highlight w:val="none"/>
        </w:rPr>
      </w:pPr>
      <w:r>
        <w:rPr>
          <w:sz w:val="24"/>
          <w:highlight w:val="none"/>
        </w:rPr>
        <mc:AlternateContent>
          <mc:Choice Requires="wps">
            <w:drawing>
              <wp:anchor distT="0" distB="0" distL="114300" distR="114300" simplePos="0" relativeHeight="251670528" behindDoc="0" locked="0" layoutInCell="1" allowOverlap="1">
                <wp:simplePos x="0" y="0"/>
                <wp:positionH relativeFrom="column">
                  <wp:posOffset>1634490</wp:posOffset>
                </wp:positionH>
                <wp:positionV relativeFrom="paragraph">
                  <wp:posOffset>57150</wp:posOffset>
                </wp:positionV>
                <wp:extent cx="2454910" cy="302260"/>
                <wp:effectExtent l="4445" t="4445" r="17145" b="17145"/>
                <wp:wrapNone/>
                <wp:docPr id="17" name="文本框 44"/>
                <wp:cNvGraphicFramePr/>
                <a:graphic xmlns:a="http://schemas.openxmlformats.org/drawingml/2006/main">
                  <a:graphicData uri="http://schemas.microsoft.com/office/word/2010/wordprocessingShape">
                    <wps:wsp>
                      <wps:cNvSpPr txBox="1"/>
                      <wps:spPr>
                        <a:xfrm>
                          <a:off x="0" y="0"/>
                          <a:ext cx="2454910" cy="302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确认配送关系</w:t>
                            </w:r>
                          </w:p>
                          <w:p>
                            <w:pPr>
                              <w:jc w:val="center"/>
                            </w:pPr>
                          </w:p>
                        </w:txbxContent>
                      </wps:txbx>
                      <wps:bodyPr wrap="square" upright="1"/>
                    </wps:wsp>
                  </a:graphicData>
                </a:graphic>
              </wp:anchor>
            </w:drawing>
          </mc:Choice>
          <mc:Fallback>
            <w:pict>
              <v:shape id="文本框 44" o:spid="_x0000_s1026" o:spt="202" type="#_x0000_t202" style="position:absolute;left:0pt;margin-left:128.7pt;margin-top:4.5pt;height:23.8pt;width:193.3pt;z-index:251670528;mso-width-relative:page;mso-height-relative:page;" fillcolor="#FFFFFF" filled="t" stroked="t" coordsize="21600,21600" o:gfxdata="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haY92tgAAAAIAQAADwAAAAAAAAABACAAAAA4AAAAZHJzL2Rvd25yZXYu&#10;eG1sUEsBAhQAFAAAAAgAh07iQI//dY4eAgAAVAQAAA4AAAAAAAAAAQAgAAAAPQEAAGRycy9lMm9E&#10;b2MueG1sUEsFBgAAAAAGAAYAWQEAAM0FAAAAAA==&#10;">
                <v:fill on="t" focussize="0,0"/>
                <v:stroke color="#000000" joinstyle="miter"/>
                <v:imagedata o:title=""/>
                <o:lock v:ext="edit" aspectratio="f"/>
                <v:textbox>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确认配送关系</w:t>
                      </w:r>
                    </w:p>
                    <w:p>
                      <w:pPr>
                        <w:jc w:val="cente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right="508" w:rightChars="231" w:firstLine="4440" w:firstLineChars="1850"/>
        <w:jc w:val="left"/>
        <w:textAlignment w:val="auto"/>
        <w:rPr>
          <w:rFonts w:hint="eastAsia"/>
          <w:sz w:val="24"/>
          <w:szCs w:val="24"/>
          <w:highlight w:val="none"/>
        </w:rPr>
      </w:pPr>
      <w:r>
        <w:rPr>
          <w:rFonts w:hint="eastAsia" w:ascii="东文宋体" w:hAnsi="东文宋体" w:eastAsia="东文宋体" w:cs="东文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right="508" w:rightChars="231"/>
        <w:jc w:val="center"/>
        <w:textAlignment w:val="auto"/>
        <w:rPr>
          <w:rFonts w:hint="eastAsia"/>
          <w:sz w:val="24"/>
          <w:szCs w:val="24"/>
          <w:highlight w:val="none"/>
        </w:rPr>
      </w:pPr>
      <w:r>
        <w:rPr>
          <w:sz w:val="24"/>
          <w:highlight w:val="none"/>
        </w:rPr>
        <mc:AlternateContent>
          <mc:Choice Requires="wps">
            <w:drawing>
              <wp:anchor distT="0" distB="0" distL="114300" distR="114300" simplePos="0" relativeHeight="251671552" behindDoc="0" locked="0" layoutInCell="1" allowOverlap="1">
                <wp:simplePos x="0" y="0"/>
                <wp:positionH relativeFrom="column">
                  <wp:posOffset>1657985</wp:posOffset>
                </wp:positionH>
                <wp:positionV relativeFrom="paragraph">
                  <wp:posOffset>44450</wp:posOffset>
                </wp:positionV>
                <wp:extent cx="2454910" cy="301625"/>
                <wp:effectExtent l="4445" t="4445" r="17145" b="17780"/>
                <wp:wrapNone/>
                <wp:docPr id="18" name="文本框 45"/>
                <wp:cNvGraphicFramePr/>
                <a:graphic xmlns:a="http://schemas.openxmlformats.org/drawingml/2006/main">
                  <a:graphicData uri="http://schemas.microsoft.com/office/word/2010/wordprocessingShape">
                    <wps:wsp>
                      <wps:cNvSpPr txBox="1"/>
                      <wps:spPr>
                        <a:xfrm>
                          <a:off x="0" y="0"/>
                          <a:ext cx="2454910" cy="301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签订三方购销</w:t>
                            </w:r>
                            <w:r>
                              <w:rPr>
                                <w:rFonts w:hint="eastAsia" w:ascii="仿宋_GB2312" w:hAnsi="仿宋_GB2312" w:eastAsia="仿宋_GB2312" w:cs="仿宋_GB2312"/>
                                <w:sz w:val="24"/>
                                <w:szCs w:val="24"/>
                                <w:lang w:eastAsia="zh-CN"/>
                              </w:rPr>
                              <w:t>合同</w:t>
                            </w:r>
                          </w:p>
                          <w:p>
                            <w:pPr>
                              <w:jc w:val="center"/>
                            </w:pPr>
                          </w:p>
                        </w:txbxContent>
                      </wps:txbx>
                      <wps:bodyPr wrap="square" upright="1"/>
                    </wps:wsp>
                  </a:graphicData>
                </a:graphic>
              </wp:anchor>
            </w:drawing>
          </mc:Choice>
          <mc:Fallback>
            <w:pict>
              <v:shape id="文本框 45" o:spid="_x0000_s1026" o:spt="202" type="#_x0000_t202" style="position:absolute;left:0pt;margin-left:130.55pt;margin-top:3.5pt;height:23.75pt;width:193.3pt;z-index:251671552;mso-width-relative:page;mso-height-relative:page;" fillcolor="#FFFFFF" filled="t" stroked="t" coordsize="21600,21600" o:gfxdata="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wANxI2AAAAAgBAAAPAAAAAAAAAAEAIAAAADgAAABkcnMvZG93bnJldi54&#10;bWxQSwECFAAUAAAACACHTuJAJBNVXx0CAABUBAAADgAAAAAAAAABACAAAAA9AQAAZHJzL2Uyb0Rv&#10;Yy54bWxQSwUGAAAAAAYABgBZAQAAzAUAAAAA&#10;">
                <v:fill on="t" focussize="0,0"/>
                <v:stroke color="#000000" joinstyle="miter"/>
                <v:imagedata o:title=""/>
                <o:lock v:ext="edit" aspectratio="f"/>
                <v:textbox>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签订三方购销</w:t>
                      </w:r>
                      <w:r>
                        <w:rPr>
                          <w:rFonts w:hint="eastAsia" w:ascii="仿宋_GB2312" w:hAnsi="仿宋_GB2312" w:eastAsia="仿宋_GB2312" w:cs="仿宋_GB2312"/>
                          <w:sz w:val="24"/>
                          <w:szCs w:val="24"/>
                          <w:lang w:eastAsia="zh-CN"/>
                        </w:rPr>
                        <w:t>合同</w:t>
                      </w:r>
                    </w:p>
                    <w:p>
                      <w:pPr>
                        <w:jc w:val="cente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right="508" w:rightChars="231" w:firstLine="4440" w:firstLineChars="1850"/>
        <w:jc w:val="left"/>
        <w:textAlignment w:val="auto"/>
        <w:rPr>
          <w:rFonts w:hint="eastAsia"/>
          <w:sz w:val="24"/>
          <w:szCs w:val="24"/>
          <w:highlight w:val="none"/>
        </w:rPr>
      </w:pPr>
      <w:r>
        <w:rPr>
          <w:rFonts w:hint="eastAsia" w:ascii="东文宋体" w:hAnsi="东文宋体" w:eastAsia="东文宋体" w:cs="东文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right="508" w:rightChars="231"/>
        <w:jc w:val="center"/>
        <w:textAlignment w:val="auto"/>
        <w:rPr>
          <w:rFonts w:hint="eastAsia"/>
          <w:sz w:val="24"/>
          <w:szCs w:val="24"/>
          <w:highlight w:val="none"/>
        </w:rPr>
      </w:pPr>
      <w:r>
        <w:rPr>
          <w:sz w:val="24"/>
          <w:highlight w:val="none"/>
        </w:rPr>
        <mc:AlternateContent>
          <mc:Choice Requires="wps">
            <w:drawing>
              <wp:anchor distT="0" distB="0" distL="114300" distR="114300" simplePos="0" relativeHeight="251672576" behindDoc="0" locked="0" layoutInCell="1" allowOverlap="1">
                <wp:simplePos x="0" y="0"/>
                <wp:positionH relativeFrom="column">
                  <wp:posOffset>1633855</wp:posOffset>
                </wp:positionH>
                <wp:positionV relativeFrom="paragraph">
                  <wp:posOffset>46990</wp:posOffset>
                </wp:positionV>
                <wp:extent cx="2454910" cy="302260"/>
                <wp:effectExtent l="4445" t="4445" r="17145" b="17145"/>
                <wp:wrapNone/>
                <wp:docPr id="19" name="文本框 46"/>
                <wp:cNvGraphicFramePr/>
                <a:graphic xmlns:a="http://schemas.openxmlformats.org/drawingml/2006/main">
                  <a:graphicData uri="http://schemas.microsoft.com/office/word/2010/wordprocessingShape">
                    <wps:wsp>
                      <wps:cNvSpPr txBox="1"/>
                      <wps:spPr>
                        <a:xfrm>
                          <a:off x="0" y="0"/>
                          <a:ext cx="2454910" cy="302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中选结果挂网执行</w:t>
                            </w:r>
                          </w:p>
                          <w:p>
                            <w:pPr>
                              <w:jc w:val="center"/>
                            </w:pPr>
                          </w:p>
                        </w:txbxContent>
                      </wps:txbx>
                      <wps:bodyPr wrap="square" upright="1"/>
                    </wps:wsp>
                  </a:graphicData>
                </a:graphic>
              </wp:anchor>
            </w:drawing>
          </mc:Choice>
          <mc:Fallback>
            <w:pict>
              <v:shape id="文本框 46" o:spid="_x0000_s1026" o:spt="202" type="#_x0000_t202" style="position:absolute;left:0pt;margin-left:128.65pt;margin-top:3.7pt;height:23.8pt;width:193.3pt;z-index:251672576;mso-width-relative:page;mso-height-relative:page;" fillcolor="#FFFFFF" filled="t" stroked="t" coordsize="21600,21600" o:gfxdata="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TZNxHtgAAAAIAQAADwAAAAAAAAABACAAAAA4AAAAZHJzL2Rvd25yZXYu&#10;eG1sUEsBAhQAFAAAAAgAh07iQJT92j8eAgAAVAQAAA4AAAAAAAAAAQAgAAAAPQEAAGRycy9lMm9E&#10;b2MueG1sUEsFBgAAAAAGAAYAWQEAAM0FAAAAAA==&#10;">
                <v:fill on="t" focussize="0,0"/>
                <v:stroke color="#000000" joinstyle="miter"/>
                <v:imagedata o:title=""/>
                <o:lock v:ext="edit" aspectratio="f"/>
                <v:textbox>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中选结果挂网执行</w:t>
                      </w:r>
                    </w:p>
                    <w:p>
                      <w:pPr>
                        <w:jc w:val="center"/>
                      </w:pPr>
                    </w:p>
                  </w:txbxContent>
                </v:textbox>
              </v:shape>
            </w:pict>
          </mc:Fallback>
        </mc:AlternateContent>
      </w:r>
    </w:p>
    <w:p>
      <w:pPr>
        <w:pStyle w:val="8"/>
        <w:ind w:right="508" w:rightChars="231"/>
        <w:rPr>
          <w:sz w:val="20"/>
          <w:highlight w:val="none"/>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textAlignment w:val="auto"/>
        <w:outlineLvl w:val="1"/>
        <w:rPr>
          <w:rFonts w:hint="eastAsia" w:ascii="黑体" w:hAnsi="黑体" w:eastAsia="黑体" w:cs="黑体"/>
          <w:b w:val="0"/>
          <w:bCs w:val="0"/>
          <w:highlight w:val="none"/>
          <w:lang w:eastAsia="zh-CN"/>
        </w:rPr>
      </w:pPr>
      <w:bookmarkStart w:id="77" w:name="九、联系方式"/>
      <w:bookmarkEnd w:id="77"/>
      <w:bookmarkStart w:id="78" w:name="_Toc815278660"/>
      <w:bookmarkStart w:id="79" w:name="_Toc2069243296"/>
      <w:bookmarkStart w:id="80" w:name="_Toc561221213"/>
      <w:bookmarkStart w:id="81" w:name="_Toc155562282"/>
      <w:bookmarkStart w:id="82" w:name="_Toc1248939627"/>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1"/>
        <w:rPr>
          <w:rFonts w:hint="eastAsia" w:ascii="黑体" w:hAnsi="黑体" w:eastAsia="黑体" w:cs="黑体"/>
          <w:b w:val="0"/>
          <w:bCs w:val="0"/>
          <w:highlight w:val="none"/>
          <w:lang w:eastAsia="zh-CN"/>
        </w:rPr>
      </w:pPr>
      <w:bookmarkStart w:id="83" w:name="_Toc12475"/>
      <w:r>
        <w:rPr>
          <w:rFonts w:hint="eastAsia" w:ascii="黑体" w:hAnsi="黑体" w:eastAsia="黑体" w:cs="黑体"/>
          <w:b w:val="0"/>
          <w:bCs w:val="0"/>
          <w:highlight w:val="none"/>
          <w:lang w:eastAsia="zh-CN"/>
        </w:rPr>
        <w:t>九、联系方式</w:t>
      </w:r>
      <w:bookmarkEnd w:id="78"/>
      <w:bookmarkEnd w:id="79"/>
      <w:bookmarkEnd w:id="80"/>
      <w:bookmarkEnd w:id="81"/>
      <w:bookmarkEnd w:id="82"/>
      <w:bookmarkEnd w:id="83"/>
    </w:p>
    <w:p>
      <w:pPr>
        <w:pStyle w:val="8"/>
        <w:keepNext w:val="0"/>
        <w:keepLines w:val="0"/>
        <w:pageBreakBefore w:val="0"/>
        <w:widowControl w:val="0"/>
        <w:kinsoku/>
        <w:wordWrap/>
        <w:overflowPunct/>
        <w:topLinePunct w:val="0"/>
        <w:autoSpaceDE w:val="0"/>
        <w:autoSpaceDN w:val="0"/>
        <w:bidi w:val="0"/>
        <w:snapToGrid/>
        <w:spacing w:before="3" w:line="560" w:lineRule="exact"/>
        <w:ind w:left="103" w:right="508" w:rightChars="231" w:firstLine="640"/>
        <w:textAlignment w:val="auto"/>
        <w:rPr>
          <w:rFonts w:hint="default" w:ascii="仿宋_GB2312" w:hAnsi="仿宋_GB2312" w:eastAsia="仿宋_GB2312" w:cs="仿宋_GB2312"/>
          <w:spacing w:val="-1"/>
          <w:sz w:val="32"/>
          <w:szCs w:val="32"/>
          <w:highlight w:val="none"/>
          <w:lang w:val="en-US" w:eastAsia="zh-CN" w:bidi="ar-SA"/>
        </w:rPr>
      </w:pPr>
      <w:r>
        <w:rPr>
          <w:rFonts w:hint="eastAsia" w:ascii="仿宋_GB2312" w:hAnsi="仿宋_GB2312" w:eastAsia="仿宋_GB2312" w:cs="仿宋_GB2312"/>
          <w:spacing w:val="-1"/>
          <w:sz w:val="32"/>
          <w:szCs w:val="32"/>
          <w:highlight w:val="none"/>
          <w:lang w:val="en-US" w:eastAsia="zh-CN" w:bidi="ar-SA"/>
        </w:rPr>
        <w:t>名称：一次性使用阴道扩张器全省性联盟集采领导小组办公室</w:t>
      </w:r>
    </w:p>
    <w:p>
      <w:pPr>
        <w:pStyle w:val="8"/>
        <w:keepNext w:val="0"/>
        <w:keepLines w:val="0"/>
        <w:pageBreakBefore w:val="0"/>
        <w:widowControl w:val="0"/>
        <w:kinsoku/>
        <w:wordWrap/>
        <w:overflowPunct/>
        <w:topLinePunct w:val="0"/>
        <w:autoSpaceDE w:val="0"/>
        <w:autoSpaceDN w:val="0"/>
        <w:bidi w:val="0"/>
        <w:snapToGrid/>
        <w:spacing w:before="3" w:line="560" w:lineRule="exact"/>
        <w:ind w:left="103" w:right="508" w:rightChars="231" w:firstLine="640"/>
        <w:textAlignment w:val="auto"/>
        <w:rPr>
          <w:rFonts w:hint="eastAsia" w:ascii="仿宋_GB2312" w:hAnsi="仿宋_GB2312" w:eastAsia="仿宋_GB2312" w:cs="仿宋_GB2312"/>
          <w:spacing w:val="-1"/>
          <w:sz w:val="32"/>
          <w:szCs w:val="32"/>
          <w:highlight w:val="none"/>
          <w:lang w:val="en-US" w:eastAsia="zh-CN" w:bidi="ar-SA"/>
        </w:rPr>
      </w:pPr>
      <w:r>
        <w:rPr>
          <w:rFonts w:hint="eastAsia" w:ascii="仿宋_GB2312" w:hAnsi="仿宋_GB2312" w:eastAsia="仿宋_GB2312" w:cs="仿宋_GB2312"/>
          <w:spacing w:val="-1"/>
          <w:sz w:val="32"/>
          <w:szCs w:val="32"/>
          <w:highlight w:val="none"/>
          <w:lang w:val="en-US" w:eastAsia="zh-CN" w:bidi="ar-SA"/>
        </w:rPr>
        <w:t>地址：‌泉州市丰泽区府西路交通科研楼C栋</w:t>
      </w:r>
    </w:p>
    <w:p>
      <w:pPr>
        <w:pStyle w:val="8"/>
        <w:keepNext w:val="0"/>
        <w:keepLines w:val="0"/>
        <w:pageBreakBefore w:val="0"/>
        <w:widowControl w:val="0"/>
        <w:kinsoku/>
        <w:wordWrap/>
        <w:overflowPunct/>
        <w:topLinePunct w:val="0"/>
        <w:autoSpaceDE w:val="0"/>
        <w:autoSpaceDN w:val="0"/>
        <w:bidi w:val="0"/>
        <w:snapToGrid/>
        <w:spacing w:before="3" w:line="560" w:lineRule="exact"/>
        <w:ind w:left="103" w:right="508" w:rightChars="231" w:firstLine="640"/>
        <w:textAlignment w:val="auto"/>
        <w:rPr>
          <w:rFonts w:hint="default" w:ascii="仿宋_GB2312" w:hAnsi="仿宋_GB2312" w:eastAsia="仿宋_GB2312" w:cs="仿宋_GB2312"/>
          <w:spacing w:val="-1"/>
          <w:sz w:val="32"/>
          <w:szCs w:val="32"/>
          <w:highlight w:val="none"/>
          <w:lang w:val="en-US" w:eastAsia="zh-CN" w:bidi="ar-SA"/>
        </w:rPr>
      </w:pPr>
      <w:r>
        <w:rPr>
          <w:rFonts w:hint="eastAsia" w:ascii="仿宋_GB2312" w:hAnsi="仿宋_GB2312" w:eastAsia="仿宋_GB2312" w:cs="仿宋_GB2312"/>
          <w:spacing w:val="-1"/>
          <w:sz w:val="32"/>
          <w:szCs w:val="32"/>
          <w:highlight w:val="none"/>
          <w:lang w:val="en-US" w:eastAsia="zh-CN" w:bidi="ar-SA"/>
        </w:rPr>
        <w:t>邮编：362000</w:t>
      </w:r>
    </w:p>
    <w:p>
      <w:pPr>
        <w:pStyle w:val="8"/>
        <w:keepNext w:val="0"/>
        <w:keepLines w:val="0"/>
        <w:pageBreakBefore w:val="0"/>
        <w:widowControl w:val="0"/>
        <w:kinsoku/>
        <w:wordWrap/>
        <w:overflowPunct/>
        <w:topLinePunct w:val="0"/>
        <w:autoSpaceDE w:val="0"/>
        <w:autoSpaceDN w:val="0"/>
        <w:bidi w:val="0"/>
        <w:snapToGrid/>
        <w:spacing w:before="3" w:line="560" w:lineRule="exact"/>
        <w:ind w:left="103" w:right="508" w:rightChars="231" w:firstLine="640"/>
        <w:textAlignment w:val="auto"/>
        <w:rPr>
          <w:rFonts w:hint="eastAsia" w:ascii="仿宋_GB2312" w:hAnsi="仿宋_GB2312" w:eastAsia="仿宋_GB2312" w:cs="仿宋_GB2312"/>
          <w:spacing w:val="-1"/>
          <w:sz w:val="32"/>
          <w:szCs w:val="32"/>
          <w:highlight w:val="none"/>
          <w:lang w:val="en-US" w:eastAsia="zh-CN" w:bidi="ar-SA"/>
        </w:rPr>
      </w:pPr>
      <w:r>
        <w:rPr>
          <w:rFonts w:hint="eastAsia" w:ascii="仿宋_GB2312" w:hAnsi="仿宋_GB2312" w:eastAsia="仿宋_GB2312" w:cs="仿宋_GB2312"/>
          <w:spacing w:val="-1"/>
          <w:sz w:val="32"/>
          <w:szCs w:val="32"/>
          <w:highlight w:val="none"/>
          <w:lang w:val="en-US" w:eastAsia="zh-CN" w:bidi="ar-SA"/>
        </w:rPr>
        <w:t>电话：</w:t>
      </w:r>
      <w:r>
        <w:rPr>
          <w:rFonts w:hint="eastAsia" w:ascii="仿宋_GB2312" w:hAnsi="Calibri" w:eastAsia="仿宋_GB2312" w:cs="仿宋_GB2312"/>
          <w:b w:val="0"/>
          <w:bCs w:val="0"/>
          <w:i w:val="0"/>
          <w:caps w:val="0"/>
          <w:color w:val="333333"/>
          <w:spacing w:val="0"/>
          <w:kern w:val="0"/>
          <w:sz w:val="32"/>
          <w:szCs w:val="32"/>
          <w:highlight w:val="none"/>
          <w:shd w:val="clear" w:color="auto" w:fill="FFFFFF"/>
          <w:lang w:val="en-US" w:eastAsia="zh-CN" w:bidi="ar"/>
        </w:rPr>
        <w:t>0595-28288967</w:t>
      </w:r>
    </w:p>
    <w:p>
      <w:pPr>
        <w:pStyle w:val="8"/>
        <w:keepNext w:val="0"/>
        <w:keepLines w:val="0"/>
        <w:pageBreakBefore w:val="0"/>
        <w:widowControl w:val="0"/>
        <w:kinsoku/>
        <w:wordWrap/>
        <w:overflowPunct/>
        <w:topLinePunct w:val="0"/>
        <w:autoSpaceDE w:val="0"/>
        <w:autoSpaceDN w:val="0"/>
        <w:bidi w:val="0"/>
        <w:snapToGrid/>
        <w:spacing w:before="3" w:line="560" w:lineRule="exact"/>
        <w:ind w:left="103" w:right="508" w:rightChars="231" w:firstLine="640"/>
        <w:textAlignment w:val="auto"/>
        <w:rPr>
          <w:rFonts w:hint="eastAsia" w:ascii="仿宋_GB2312" w:hAnsi="仿宋_GB2312" w:eastAsia="仿宋_GB2312" w:cs="仿宋_GB2312"/>
          <w:spacing w:val="-1"/>
          <w:sz w:val="32"/>
          <w:szCs w:val="32"/>
          <w:highlight w:val="none"/>
          <w:lang w:val="en-US" w:eastAsia="zh-CN" w:bidi="ar-SA"/>
        </w:rPr>
      </w:pPr>
      <w:r>
        <w:rPr>
          <w:rFonts w:hint="eastAsia" w:ascii="仿宋_GB2312" w:hAnsi="仿宋_GB2312" w:eastAsia="仿宋_GB2312" w:cs="仿宋_GB2312"/>
          <w:spacing w:val="-1"/>
          <w:sz w:val="32"/>
          <w:szCs w:val="32"/>
          <w:highlight w:val="none"/>
          <w:lang w:val="en-US" w:eastAsia="zh-CN" w:bidi="ar-SA"/>
        </w:rPr>
        <w:t>QQ群：962884523</w:t>
      </w:r>
    </w:p>
    <w:p>
      <w:pPr>
        <w:keepNext w:val="0"/>
        <w:keepLines w:val="0"/>
        <w:pageBreakBefore w:val="0"/>
        <w:widowControl w:val="0"/>
        <w:kinsoku/>
        <w:wordWrap/>
        <w:overflowPunct/>
        <w:topLinePunct w:val="0"/>
        <w:bidi w:val="0"/>
        <w:adjustRightInd/>
        <w:snapToGrid/>
        <w:spacing w:before="56" w:line="560" w:lineRule="exact"/>
        <w:ind w:right="1829"/>
        <w:jc w:val="both"/>
        <w:textAlignment w:val="auto"/>
        <w:rPr>
          <w:rFonts w:hint="eastAsia" w:ascii="方正小标宋简体" w:hAnsi="方正小标宋简体" w:eastAsia="方正小标宋简体" w:cs="方正小标宋简体"/>
          <w:highlight w:val="none"/>
          <w:lang w:eastAsia="zh-CN"/>
        </w:rPr>
      </w:pPr>
      <w:bookmarkStart w:id="84" w:name="_TOC_250001"/>
      <w:bookmarkEnd w:id="84"/>
      <w:r>
        <w:rPr>
          <w:rFonts w:hint="eastAsia" w:ascii="方正小标宋简体" w:hAnsi="方正小标宋简体" w:eastAsia="方正小标宋简体" w:cs="方正小标宋简体"/>
          <w:highlight w:val="none"/>
        </w:rPr>
        <w:br w:type="page"/>
      </w:r>
      <w:bookmarkStart w:id="85" w:name="_Toc1839498426"/>
      <w:bookmarkStart w:id="86" w:name="_Toc513196652"/>
    </w:p>
    <w:p>
      <w:pPr>
        <w:pStyle w:val="2"/>
        <w:numPr>
          <w:ilvl w:val="0"/>
          <w:numId w:val="1"/>
        </w:numPr>
        <w:bidi w:val="0"/>
        <w:ind w:left="0" w:leftChars="0" w:firstLine="0" w:firstLineChars="0"/>
        <w:jc w:val="center"/>
        <w:outlineLvl w:val="0"/>
        <w:rPr>
          <w:rFonts w:hint="eastAsia" w:ascii="方正小标宋简体" w:hAnsi="方正小标宋简体" w:eastAsia="方正小标宋简体" w:cs="方正小标宋简体"/>
          <w:highlight w:val="none"/>
        </w:rPr>
      </w:pPr>
      <w:bookmarkStart w:id="87" w:name="_Toc1902852711"/>
      <w:bookmarkStart w:id="88" w:name="_Toc1421896354"/>
      <w:bookmarkStart w:id="89" w:name="_Toc696749267"/>
      <w:bookmarkStart w:id="90" w:name="_Toc12190"/>
      <w:r>
        <w:rPr>
          <w:rFonts w:hint="eastAsia" w:ascii="方正小标宋简体" w:hAnsi="方正小标宋简体" w:eastAsia="方正小标宋简体" w:cs="方正小标宋简体"/>
          <w:highlight w:val="none"/>
        </w:rPr>
        <w:t>申报企业须知</w:t>
      </w:r>
      <w:bookmarkEnd w:id="85"/>
      <w:bookmarkEnd w:id="86"/>
      <w:bookmarkEnd w:id="87"/>
      <w:bookmarkEnd w:id="88"/>
      <w:bookmarkEnd w:id="89"/>
      <w:bookmarkEnd w:id="90"/>
    </w:p>
    <w:p>
      <w:pPr>
        <w:rPr>
          <w:rFonts w:hint="eastAsia"/>
        </w:rPr>
      </w:pPr>
    </w:p>
    <w:p>
      <w:pPr>
        <w:numPr>
          <w:ilvl w:val="0"/>
          <w:numId w:val="0"/>
        </w:numPr>
        <w:ind w:right="0" w:rightChars="0"/>
        <w:rPr>
          <w:rFonts w:hint="eastAsia"/>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1"/>
        <w:rPr>
          <w:rFonts w:hint="eastAsia" w:ascii="黑体" w:hAnsi="黑体" w:eastAsia="黑体" w:cs="黑体"/>
          <w:b w:val="0"/>
          <w:bCs w:val="0"/>
          <w:highlight w:val="none"/>
          <w:lang w:eastAsia="zh-CN"/>
        </w:rPr>
      </w:pPr>
      <w:bookmarkStart w:id="91" w:name="一、申报材料"/>
      <w:bookmarkEnd w:id="91"/>
      <w:bookmarkStart w:id="92" w:name="_Toc1684638101"/>
      <w:bookmarkStart w:id="93" w:name="_Toc368957084"/>
      <w:bookmarkStart w:id="94" w:name="_Toc18660"/>
      <w:bookmarkStart w:id="95" w:name="_Toc627391945"/>
      <w:bookmarkStart w:id="96" w:name="_Toc36603378"/>
      <w:bookmarkStart w:id="97" w:name="_Toc613997862"/>
      <w:r>
        <w:rPr>
          <w:rFonts w:hint="eastAsia" w:ascii="黑体" w:hAnsi="黑体" w:eastAsia="黑体" w:cs="黑体"/>
          <w:b w:val="0"/>
          <w:bCs w:val="0"/>
          <w:highlight w:val="none"/>
          <w:lang w:eastAsia="zh-CN"/>
        </w:rPr>
        <w:t>一、申报材料</w:t>
      </w:r>
      <w:bookmarkEnd w:id="92"/>
      <w:bookmarkEnd w:id="93"/>
      <w:bookmarkEnd w:id="94"/>
      <w:bookmarkEnd w:id="95"/>
      <w:bookmarkEnd w:id="96"/>
      <w:bookmarkEnd w:id="97"/>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2"/>
        <w:rPr>
          <w:rFonts w:hint="eastAsia" w:ascii="楷体_GB2312" w:hAnsi="楷体_GB2312" w:eastAsia="楷体_GB2312" w:cs="楷体_GB2312"/>
          <w:b w:val="0"/>
          <w:bCs/>
          <w:sz w:val="32"/>
          <w:szCs w:val="22"/>
          <w:highlight w:val="none"/>
          <w:lang w:val="en-US" w:eastAsia="zh-CN" w:bidi="ar-SA"/>
        </w:rPr>
      </w:pPr>
      <w:bookmarkStart w:id="98" w:name="_Toc11504"/>
      <w:bookmarkStart w:id="99" w:name="_Toc1012651004"/>
      <w:bookmarkStart w:id="100" w:name="_Toc803142799"/>
      <w:r>
        <w:rPr>
          <w:rFonts w:hint="eastAsia" w:ascii="楷体_GB2312" w:hAnsi="楷体_GB2312" w:eastAsia="楷体_GB2312" w:cs="楷体_GB2312"/>
          <w:b w:val="0"/>
          <w:bCs/>
          <w:sz w:val="32"/>
          <w:szCs w:val="22"/>
          <w:highlight w:val="none"/>
          <w:lang w:val="en-US" w:eastAsia="zh-CN" w:bidi="ar-SA"/>
        </w:rPr>
        <w:t>（一）申报企业资质材料</w:t>
      </w:r>
      <w:bookmarkEnd w:id="98"/>
      <w:bookmarkEnd w:id="99"/>
      <w:bookmarkEnd w:id="100"/>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1.企业《营业执照》（正、副本）；</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2.医疗器械注册人或境外医用耗材《医疗器械注册证》上指定的代理人或报关企业法人相关信息；</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3.境外医用耗材生产企业的《总代理证明材料》〔仅境外医用耗材《医疗器械注册证》上指定的代理人或报关企业提供〕，原则上在</w:t>
      </w:r>
      <w:r>
        <w:rPr>
          <w:rFonts w:hint="eastAsia" w:ascii="仿宋_GB2312" w:hAnsi="仿宋_GB2312" w:eastAsia="仿宋_GB2312" w:cs="仿宋_GB2312"/>
          <w:spacing w:val="-1"/>
          <w:sz w:val="32"/>
          <w:szCs w:val="32"/>
          <w:highlight w:val="none"/>
          <w:lang w:val="en-US" w:eastAsia="zh-CN" w:bidi="ar-SA"/>
        </w:rPr>
        <w:t>本次联盟采购</w:t>
      </w:r>
      <w:r>
        <w:rPr>
          <w:rFonts w:hint="eastAsia" w:ascii="仿宋_GB2312" w:hAnsi="仿宋_GB2312" w:eastAsia="仿宋_GB2312" w:cs="仿宋_GB2312"/>
          <w:spacing w:val="-1"/>
          <w:sz w:val="32"/>
          <w:szCs w:val="32"/>
          <w:highlight w:val="none"/>
          <w:lang w:val="en-US" w:eastAsia="zh-CN"/>
        </w:rPr>
        <w:t>中选结果落地执行前提供外文总代理证明材料公证后的翻译件；</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4.境内医疗器械注册人、备案人从事实际生产的，提供《医疗器械生产许可证》；不从事实际生产的，提供受托生产企业的《营业执照》（正、副本）、《医疗器械生产许可证》等资质材料；</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5.其他相关文件材料。</w:t>
      </w: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2"/>
        <w:rPr>
          <w:rFonts w:hint="eastAsia" w:ascii="楷体_GB2312" w:hAnsi="楷体_GB2312" w:eastAsia="楷体_GB2312" w:cs="楷体_GB2312"/>
          <w:b w:val="0"/>
          <w:bCs/>
          <w:sz w:val="32"/>
          <w:szCs w:val="22"/>
          <w:highlight w:val="none"/>
          <w:lang w:val="en-US" w:eastAsia="zh-CN" w:bidi="ar-SA"/>
        </w:rPr>
      </w:pPr>
      <w:bookmarkStart w:id="101" w:name="_Toc817521753"/>
      <w:bookmarkStart w:id="102" w:name="_Toc1486301398"/>
      <w:bookmarkStart w:id="103" w:name="_Toc23586"/>
      <w:r>
        <w:rPr>
          <w:rFonts w:hint="eastAsia" w:ascii="楷体_GB2312" w:hAnsi="楷体_GB2312" w:eastAsia="楷体_GB2312" w:cs="楷体_GB2312"/>
          <w:b w:val="0"/>
          <w:bCs/>
          <w:sz w:val="32"/>
          <w:szCs w:val="22"/>
          <w:highlight w:val="none"/>
          <w:lang w:val="en-US" w:eastAsia="zh-CN" w:bidi="ar-SA"/>
        </w:rPr>
        <w:t>（二）申报产品及产品资质</w:t>
      </w:r>
      <w:bookmarkEnd w:id="101"/>
      <w:bookmarkEnd w:id="102"/>
      <w:bookmarkEnd w:id="103"/>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1.《医疗器械注册证》、医疗器械产品注册登记表或医疗器械产品生产制造认可表和附页。如制造认可表/注册登记表或附页中明确了规格型号，所报产品必须在其范围内；如医疗器械注册证正在办理延期手续的，需提供受理通知单。</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default"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2.产品说明书、产品图片（上传代表品的外包装和产品实物图片）</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3.境外医用耗材生产企业的《委托授权书》〔仅境外医用耗材</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《医疗器械注册证》上指定的代理人或报关企业提供〕。</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4.其他相关文件材料。</w:t>
      </w: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2"/>
        <w:rPr>
          <w:rFonts w:hint="eastAsia" w:ascii="楷体_GB2312" w:hAnsi="楷体_GB2312" w:eastAsia="楷体_GB2312" w:cs="楷体_GB2312"/>
          <w:b w:val="0"/>
          <w:bCs/>
          <w:sz w:val="32"/>
          <w:szCs w:val="22"/>
          <w:highlight w:val="none"/>
          <w:lang w:val="en-US" w:eastAsia="zh-CN" w:bidi="ar-SA"/>
        </w:rPr>
      </w:pPr>
      <w:bookmarkStart w:id="104" w:name="_Toc487729165"/>
      <w:bookmarkStart w:id="105" w:name="_Toc15289"/>
      <w:bookmarkStart w:id="106" w:name="_Toc737814282"/>
      <w:r>
        <w:rPr>
          <w:rFonts w:hint="eastAsia" w:ascii="楷体_GB2312" w:hAnsi="楷体_GB2312" w:eastAsia="楷体_GB2312" w:cs="楷体_GB2312"/>
          <w:b w:val="0"/>
          <w:bCs/>
          <w:sz w:val="32"/>
          <w:szCs w:val="22"/>
          <w:highlight w:val="none"/>
          <w:lang w:val="en-US" w:eastAsia="zh-CN" w:bidi="ar-SA"/>
        </w:rPr>
        <w:t>（三）项目报名资料</w:t>
      </w:r>
      <w:bookmarkEnd w:id="104"/>
      <w:bookmarkEnd w:id="105"/>
      <w:bookmarkEnd w:id="106"/>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1.境内医用耗材生产企业和境外医用耗材《医疗器械注册证》上指定的代理人或报关企业对企业授权代理人的《授权书》和企业授权代理人、法定代表人身份证（正、反面）（附件2）；</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2.《一次性使用阴道扩张器全省性联盟集中带量采购申报函》（附件3）；</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3.《一次性使用阴道扩张器全省性联盟集中带量采购申报企业承诺函》（附件4）；</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4.其他相关文件材料。</w:t>
      </w: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2"/>
        <w:rPr>
          <w:rFonts w:hint="eastAsia" w:ascii="楷体_GB2312" w:hAnsi="楷体_GB2312" w:eastAsia="楷体_GB2312" w:cs="楷体_GB2312"/>
          <w:b w:val="0"/>
          <w:bCs/>
          <w:sz w:val="32"/>
          <w:szCs w:val="22"/>
          <w:highlight w:val="none"/>
          <w:lang w:val="en-US" w:eastAsia="zh-CN" w:bidi="ar-SA"/>
        </w:rPr>
      </w:pPr>
      <w:bookmarkStart w:id="107" w:name="_Toc874059796"/>
      <w:bookmarkStart w:id="108" w:name="_Toc318995556"/>
      <w:bookmarkStart w:id="109" w:name="_Toc6107"/>
      <w:r>
        <w:rPr>
          <w:rFonts w:hint="eastAsia" w:ascii="楷体_GB2312" w:hAnsi="楷体_GB2312" w:eastAsia="楷体_GB2312" w:cs="楷体_GB2312"/>
          <w:b w:val="0"/>
          <w:bCs/>
          <w:sz w:val="32"/>
          <w:szCs w:val="22"/>
          <w:highlight w:val="none"/>
          <w:lang w:val="en-US" w:eastAsia="zh-CN" w:bidi="ar-SA"/>
        </w:rPr>
        <w:t>（四）填报要求</w:t>
      </w:r>
      <w:bookmarkEnd w:id="107"/>
      <w:bookmarkEnd w:id="108"/>
      <w:bookmarkEnd w:id="109"/>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1.申报企业应如实提供和填报有关资料，包括企业全国现行有效最低省级挂网价或其他地市级（含联盟）及以上集中采购（含带量采购）价格。在网上进行申报的文件，需加盖申报企业公章后扫描上传至联盟集采网址。</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2.申报材料中涉及到的证书、证明材料等需处于有效状态。申报企业的所有申报材料及往来函电一律以中文书写，外文资料必须提供相应的中文翻译文本。</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1"/>
        <w:rPr>
          <w:rFonts w:hint="eastAsia" w:ascii="黑体" w:hAnsi="黑体" w:eastAsia="黑体" w:cs="黑体"/>
          <w:b w:val="0"/>
          <w:bCs w:val="0"/>
          <w:highlight w:val="none"/>
          <w:lang w:eastAsia="zh-CN"/>
        </w:rPr>
      </w:pPr>
      <w:bookmarkStart w:id="110" w:name="_Toc106650967"/>
      <w:bookmarkStart w:id="111" w:name="_Toc1239126780"/>
      <w:bookmarkStart w:id="112" w:name="_Toc1534845892"/>
      <w:bookmarkStart w:id="113" w:name="_Toc2013353631"/>
      <w:bookmarkStart w:id="114" w:name="_Toc199632924"/>
      <w:bookmarkStart w:id="115" w:name="_Toc2930"/>
      <w:r>
        <w:rPr>
          <w:rFonts w:hint="eastAsia" w:ascii="黑体" w:hAnsi="黑体" w:eastAsia="黑体" w:cs="黑体"/>
          <w:b w:val="0"/>
          <w:bCs w:val="0"/>
          <w:highlight w:val="none"/>
          <w:lang w:eastAsia="zh-CN"/>
        </w:rPr>
        <w:t>二、</w:t>
      </w:r>
      <w:r>
        <w:rPr>
          <w:rFonts w:hint="eastAsia" w:ascii="黑体" w:hAnsi="黑体" w:eastAsia="黑体" w:cs="黑体"/>
          <w:b w:val="0"/>
          <w:bCs w:val="0"/>
          <w:highlight w:val="none"/>
          <w:lang w:val="en-US" w:eastAsia="zh-CN"/>
        </w:rPr>
        <w:t>申报</w:t>
      </w:r>
      <w:r>
        <w:rPr>
          <w:rFonts w:hint="eastAsia" w:ascii="黑体" w:hAnsi="黑体" w:eastAsia="黑体" w:cs="黑体"/>
          <w:b w:val="0"/>
          <w:bCs w:val="0"/>
          <w:highlight w:val="none"/>
          <w:lang w:eastAsia="zh-CN"/>
        </w:rPr>
        <w:t>报价</w:t>
      </w:r>
      <w:bookmarkEnd w:id="110"/>
      <w:bookmarkEnd w:id="111"/>
      <w:bookmarkEnd w:id="112"/>
      <w:bookmarkEnd w:id="113"/>
      <w:bookmarkEnd w:id="114"/>
      <w:bookmarkEnd w:id="115"/>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bookmarkStart w:id="116" w:name="二、申报报价"/>
      <w:bookmarkEnd w:id="116"/>
      <w:r>
        <w:rPr>
          <w:rFonts w:hint="eastAsia" w:ascii="仿宋_GB2312" w:hAnsi="仿宋_GB2312" w:eastAsia="仿宋_GB2312" w:cs="仿宋_GB2312"/>
          <w:spacing w:val="-1"/>
          <w:sz w:val="32"/>
          <w:szCs w:val="32"/>
          <w:highlight w:val="none"/>
          <w:lang w:val="en-US" w:eastAsia="zh-CN"/>
        </w:rPr>
        <w:t>（一）企业申报报价即申报产品满足临床使用的实际供应价，应包含税费、产品正常损耗、相关配套设施、服务和配送等所有费用。</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default"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（二）申报企业应在规定时间内登录联盟集采网址，按照具体报价要求进行报价。企业申报报价具有法律效力，申报企业须承担相应责任。</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yellow"/>
          <w:lang w:val="en-US" w:eastAsia="zh-CN"/>
        </w:rPr>
      </w:pPr>
      <w:bookmarkStart w:id="117" w:name="_Toc1598069196"/>
      <w:r>
        <w:rPr>
          <w:rFonts w:hint="eastAsia" w:ascii="仿宋_GB2312" w:hAnsi="仿宋_GB2312" w:eastAsia="仿宋_GB2312" w:cs="仿宋_GB2312"/>
          <w:spacing w:val="-1"/>
          <w:sz w:val="32"/>
          <w:szCs w:val="32"/>
          <w:highlight w:val="none"/>
          <w:lang w:val="en-US" w:eastAsia="zh-CN"/>
        </w:rPr>
        <w:t>（三）企业申报报价以人民币（元）为单位（保留小数点后三位）。</w:t>
      </w:r>
      <w:bookmarkEnd w:id="117"/>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1"/>
        <w:rPr>
          <w:rFonts w:hint="eastAsia" w:ascii="黑体" w:hAnsi="黑体" w:eastAsia="黑体" w:cs="黑体"/>
          <w:b w:val="0"/>
          <w:bCs w:val="0"/>
          <w:highlight w:val="none"/>
          <w:lang w:eastAsia="zh-CN"/>
        </w:rPr>
      </w:pPr>
      <w:bookmarkStart w:id="118" w:name="三、中选规则"/>
      <w:bookmarkEnd w:id="118"/>
      <w:bookmarkStart w:id="119" w:name="_Toc547094047"/>
      <w:bookmarkStart w:id="120" w:name="_Toc2144546964"/>
      <w:bookmarkStart w:id="121" w:name="_Toc1854866501"/>
      <w:bookmarkStart w:id="122" w:name="_Toc581339080"/>
      <w:bookmarkStart w:id="123" w:name="_Toc1708001819"/>
      <w:bookmarkStart w:id="124" w:name="_Toc28327"/>
      <w:r>
        <w:rPr>
          <w:rFonts w:hint="eastAsia" w:ascii="黑体" w:hAnsi="黑体" w:eastAsia="黑体" w:cs="黑体"/>
          <w:b w:val="0"/>
          <w:bCs w:val="0"/>
          <w:highlight w:val="none"/>
          <w:lang w:eastAsia="zh-CN"/>
        </w:rPr>
        <w:t>三、中选规则</w:t>
      </w:r>
      <w:bookmarkEnd w:id="119"/>
      <w:bookmarkEnd w:id="120"/>
      <w:bookmarkEnd w:id="121"/>
      <w:bookmarkEnd w:id="122"/>
      <w:bookmarkEnd w:id="123"/>
      <w:bookmarkEnd w:id="124"/>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2"/>
        <w:rPr>
          <w:rFonts w:hint="eastAsia" w:ascii="楷体_GB2312" w:hAnsi="楷体_GB2312" w:eastAsia="楷体_GB2312" w:cs="楷体_GB2312"/>
          <w:b w:val="0"/>
          <w:bCs/>
          <w:sz w:val="32"/>
          <w:szCs w:val="22"/>
          <w:highlight w:val="none"/>
          <w:lang w:val="en-US" w:eastAsia="zh-CN" w:bidi="ar-SA"/>
        </w:rPr>
      </w:pPr>
      <w:bookmarkStart w:id="125" w:name="_Toc18761"/>
      <w:bookmarkStart w:id="126" w:name="_Toc1868662455"/>
      <w:bookmarkStart w:id="127" w:name="_Toc1662807357"/>
      <w:r>
        <w:rPr>
          <w:rFonts w:hint="eastAsia" w:ascii="楷体_GB2312" w:hAnsi="楷体_GB2312" w:eastAsia="楷体_GB2312" w:cs="楷体_GB2312"/>
          <w:b w:val="0"/>
          <w:bCs/>
          <w:sz w:val="32"/>
          <w:szCs w:val="22"/>
          <w:highlight w:val="none"/>
          <w:lang w:val="en-US" w:eastAsia="zh-CN" w:bidi="ar-SA"/>
        </w:rPr>
        <w:t>（一）报价要求</w:t>
      </w:r>
      <w:bookmarkEnd w:id="125"/>
      <w:bookmarkEnd w:id="126"/>
      <w:bookmarkEnd w:id="127"/>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各申报企业进行一轮报价，每家申报企业报1个价格。企业报价须同时满足以下条件：</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1.不得高于最高有效申报价；</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default"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2.不得高于本企业全国现行有效最低省级挂网价及福建省医疗机构近一年最低采购价。</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default"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3.不得高于本企业地市级（含联盟）及以上集中采购（含带量采购）价格；曾中选产品若已调低价格的，则不高于调低后的价格。</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如中选，本企业所有申报产品按此报价进行供应。</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default"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报价最低的企业需提供成本说明，确保投标价格的合理性和可行性，避免低于成本价销售等不正当竞争行为。</w:t>
      </w: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2"/>
        <w:rPr>
          <w:rFonts w:hint="default" w:ascii="楷体_GB2312" w:hAnsi="楷体_GB2312" w:eastAsia="楷体_GB2312" w:cs="楷体_GB2312"/>
          <w:b w:val="0"/>
          <w:bCs/>
          <w:sz w:val="32"/>
          <w:szCs w:val="22"/>
          <w:highlight w:val="none"/>
          <w:lang w:val="en-US" w:eastAsia="zh-CN" w:bidi="ar-SA"/>
        </w:rPr>
      </w:pPr>
      <w:r>
        <w:rPr>
          <w:rFonts w:hint="eastAsia" w:ascii="楷体_GB2312" w:hAnsi="楷体_GB2312" w:eastAsia="楷体_GB2312" w:cs="楷体_GB2312"/>
          <w:b w:val="0"/>
          <w:bCs/>
          <w:sz w:val="32"/>
          <w:szCs w:val="22"/>
          <w:highlight w:val="none"/>
          <w:lang w:val="en-US" w:eastAsia="zh-CN" w:bidi="ar-SA"/>
        </w:rPr>
        <w:t>（二）企业降幅及排名</w:t>
      </w:r>
    </w:p>
    <w:p>
      <w:pPr>
        <w:spacing w:before="181" w:line="333" w:lineRule="auto"/>
        <w:ind w:left="21" w:right="231" w:firstLine="597"/>
        <w:rPr>
          <w:rFonts w:hint="eastAsia" w:ascii="仿宋_GB2312" w:hAnsi="仿宋_GB2312" w:eastAsia="仿宋_GB2312" w:cs="仿宋_GB2312"/>
          <w:spacing w:val="9"/>
          <w:sz w:val="30"/>
          <w:szCs w:val="30"/>
          <w:highlight w:val="none"/>
        </w:rPr>
      </w:pPr>
      <w:r>
        <w:rPr>
          <w:rFonts w:hint="eastAsia" w:ascii="仿宋_GB2312" w:hAnsi="仿宋_GB2312" w:eastAsia="仿宋_GB2312" w:cs="仿宋_GB2312"/>
          <w:spacing w:val="9"/>
          <w:sz w:val="30"/>
          <w:szCs w:val="30"/>
          <w:highlight w:val="none"/>
        </w:rPr>
        <w:t>1.企业降幅（按百分比计算）</w:t>
      </w:r>
    </w:p>
    <w:p>
      <w:pPr>
        <w:spacing w:before="181" w:line="333" w:lineRule="auto"/>
        <w:ind w:left="21" w:right="231" w:firstLine="597"/>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9"/>
          <w:sz w:val="30"/>
          <w:szCs w:val="30"/>
          <w:highlight w:val="none"/>
        </w:rPr>
        <w:t>企业降幅按企业报价与所在竞价单元的最高有效申报价进行比</w:t>
      </w:r>
      <w:r>
        <w:rPr>
          <w:rFonts w:hint="eastAsia" w:ascii="仿宋_GB2312" w:hAnsi="仿宋_GB2312" w:eastAsia="仿宋_GB2312" w:cs="仿宋_GB2312"/>
          <w:spacing w:val="1"/>
          <w:sz w:val="30"/>
          <w:szCs w:val="30"/>
          <w:highlight w:val="none"/>
        </w:rPr>
        <w:t>较计算。</w:t>
      </w:r>
    </w:p>
    <w:p>
      <w:pPr>
        <w:spacing w:before="221" w:line="194" w:lineRule="auto"/>
        <w:ind w:left="1195"/>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mc:AlternateContent>
          <mc:Choice Requires="wps">
            <w:drawing>
              <wp:anchor distT="0" distB="0" distL="114300" distR="114300" simplePos="0" relativeHeight="251678720" behindDoc="0" locked="0" layoutInCell="1" allowOverlap="1">
                <wp:simplePos x="0" y="0"/>
                <wp:positionH relativeFrom="column">
                  <wp:posOffset>1982470</wp:posOffset>
                </wp:positionH>
                <wp:positionV relativeFrom="paragraph">
                  <wp:posOffset>3175</wp:posOffset>
                </wp:positionV>
                <wp:extent cx="2159635" cy="18415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159635" cy="184150"/>
                        </a:xfrm>
                        <a:prstGeom prst="rect">
                          <a:avLst/>
                        </a:prstGeom>
                        <a:noFill/>
                        <a:ln>
                          <a:noFill/>
                        </a:ln>
                      </wps:spPr>
                      <wps:txbx>
                        <w:txbxContent>
                          <w:p>
                            <w:pPr>
                              <w:spacing w:before="19" w:line="196" w:lineRule="auto"/>
                              <w:ind w:left="20"/>
                              <w:rPr>
                                <w:rFonts w:ascii="FangSong" w:hAnsi="FangSong" w:eastAsia="FangSong" w:cs="FangSong"/>
                                <w:sz w:val="25"/>
                                <w:szCs w:val="25"/>
                                <w:highlight w:val="none"/>
                              </w:rPr>
                            </w:pPr>
                            <w:r>
                              <w:rPr>
                                <w:rFonts w:ascii="FangSong" w:hAnsi="FangSong" w:eastAsia="FangSong" w:cs="FangSong"/>
                                <w:spacing w:val="8"/>
                                <w:sz w:val="25"/>
                                <w:szCs w:val="25"/>
                                <w:highlight w:val="none"/>
                              </w:rPr>
                              <w:t>最高有效申报价</w:t>
                            </w:r>
                            <w:r>
                              <w:rPr>
                                <w:rFonts w:ascii="Cambria Math" w:hAnsi="Cambria Math" w:eastAsia="Cambria Math" w:cs="Cambria Math"/>
                                <w:spacing w:val="8"/>
                                <w:sz w:val="25"/>
                                <w:szCs w:val="25"/>
                                <w:highlight w:val="none"/>
                              </w:rPr>
                              <w:t>−</w:t>
                            </w:r>
                            <w:r>
                              <w:rPr>
                                <w:rFonts w:ascii="FangSong" w:hAnsi="FangSong" w:eastAsia="FangSong" w:cs="FangSong"/>
                                <w:spacing w:val="8"/>
                                <w:sz w:val="25"/>
                                <w:szCs w:val="25"/>
                                <w:highlight w:val="none"/>
                              </w:rPr>
                              <w:t>企业报</w:t>
                            </w:r>
                            <w:r>
                              <w:rPr>
                                <w:rFonts w:hint="eastAsia" w:ascii="FangSong" w:hAnsi="FangSong" w:eastAsia="FangSong" w:cs="FangSong"/>
                                <w:spacing w:val="8"/>
                                <w:sz w:val="25"/>
                                <w:szCs w:val="25"/>
                                <w:highlight w:val="none"/>
                                <w:lang w:eastAsia="zh-CN"/>
                              </w:rPr>
                              <w:t>价</w:t>
                            </w:r>
                            <w:r>
                              <w:rPr>
                                <w:rFonts w:ascii="FangSong" w:hAnsi="FangSong" w:eastAsia="FangSong" w:cs="FangSong"/>
                                <w:spacing w:val="8"/>
                                <w:sz w:val="25"/>
                                <w:szCs w:val="25"/>
                                <w:highlight w:val="none"/>
                              </w:rPr>
                              <w:t>价</w:t>
                            </w:r>
                          </w:p>
                        </w:txbxContent>
                      </wps:txbx>
                      <wps:bodyPr lIns="0" tIns="0" rIns="0" bIns="0" upright="1"/>
                    </wps:wsp>
                  </a:graphicData>
                </a:graphic>
              </wp:anchor>
            </w:drawing>
          </mc:Choice>
          <mc:Fallback>
            <w:pict>
              <v:shape id="_x0000_s1026" o:spid="_x0000_s1026" o:spt="202" type="#_x0000_t202" style="position:absolute;left:0pt;margin-left:156.1pt;margin-top:0.25pt;height:14.5pt;width:170.05pt;z-index:251678720;mso-width-relative:page;mso-height-relative:page;" filled="f" stroked="f" coordsize="21600,21600" o:gfxdata="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UXN3utYAAAAHAQAADwAAAAAAAAABACAAAAA4&#10;AAAAZHJzL2Rvd25yZXYueG1sUEsBAhQAFAAAAAgAh07iQMlRCgS9AQAAdAMAAA4AAAAAAAAAAQAg&#10;AAAAOwEAAGRycy9lMm9Eb2MueG1sUEsFBgAAAAAGAAYAWQEAAGoFAAAAAA==&#10;">
                <v:fill on="f" focussize="0,0"/>
                <v:stroke on="f"/>
                <v:imagedata o:title=""/>
                <o:lock v:ext="edit" aspectratio="f"/>
                <v:textbox inset="0mm,0mm,0mm,0mm">
                  <w:txbxContent>
                    <w:p>
                      <w:pPr>
                        <w:spacing w:before="19" w:line="196" w:lineRule="auto"/>
                        <w:ind w:left="20"/>
                        <w:rPr>
                          <w:rFonts w:ascii="FangSong" w:hAnsi="FangSong" w:eastAsia="FangSong" w:cs="FangSong"/>
                          <w:sz w:val="25"/>
                          <w:szCs w:val="25"/>
                          <w:highlight w:val="none"/>
                        </w:rPr>
                      </w:pPr>
                      <w:r>
                        <w:rPr>
                          <w:rFonts w:ascii="FangSong" w:hAnsi="FangSong" w:eastAsia="FangSong" w:cs="FangSong"/>
                          <w:spacing w:val="8"/>
                          <w:sz w:val="25"/>
                          <w:szCs w:val="25"/>
                          <w:highlight w:val="none"/>
                        </w:rPr>
                        <w:t>最高有效申报价</w:t>
                      </w:r>
                      <w:r>
                        <w:rPr>
                          <w:rFonts w:ascii="Cambria Math" w:hAnsi="Cambria Math" w:eastAsia="Cambria Math" w:cs="Cambria Math"/>
                          <w:spacing w:val="8"/>
                          <w:sz w:val="25"/>
                          <w:szCs w:val="25"/>
                          <w:highlight w:val="none"/>
                        </w:rPr>
                        <w:t>−</w:t>
                      </w:r>
                      <w:r>
                        <w:rPr>
                          <w:rFonts w:ascii="FangSong" w:hAnsi="FangSong" w:eastAsia="FangSong" w:cs="FangSong"/>
                          <w:spacing w:val="8"/>
                          <w:sz w:val="25"/>
                          <w:szCs w:val="25"/>
                          <w:highlight w:val="none"/>
                        </w:rPr>
                        <w:t>企业报</w:t>
                      </w:r>
                      <w:r>
                        <w:rPr>
                          <w:rFonts w:hint="eastAsia" w:ascii="FangSong" w:hAnsi="FangSong" w:eastAsia="FangSong" w:cs="FangSong"/>
                          <w:spacing w:val="8"/>
                          <w:sz w:val="25"/>
                          <w:szCs w:val="25"/>
                          <w:highlight w:val="none"/>
                          <w:lang w:eastAsia="zh-CN"/>
                        </w:rPr>
                        <w:t>价</w:t>
                      </w:r>
                      <w:r>
                        <w:rPr>
                          <w:rFonts w:ascii="FangSong" w:hAnsi="FangSong" w:eastAsia="FangSong" w:cs="FangSong"/>
                          <w:spacing w:val="8"/>
                          <w:sz w:val="25"/>
                          <w:szCs w:val="25"/>
                          <w:highlight w:val="none"/>
                        </w:rPr>
                        <w:t>价</w:t>
                      </w:r>
                    </w:p>
                  </w:txbxContent>
                </v:textbox>
              </v:shape>
            </w:pict>
          </mc:Fallback>
        </mc:AlternateContent>
      </w:r>
      <w:r>
        <w:rPr>
          <w:rFonts w:hint="eastAsia" w:ascii="仿宋_GB2312" w:hAnsi="仿宋_GB2312" w:eastAsia="仿宋_GB2312" w:cs="仿宋_GB2312"/>
          <w:spacing w:val="-7"/>
          <w:sz w:val="30"/>
          <w:szCs w:val="30"/>
          <w:highlight w:val="none"/>
        </w:rPr>
        <w:t>企业降幅=</w:t>
      </w:r>
      <w:r>
        <w:rPr>
          <w:rFonts w:hint="eastAsia" w:ascii="仿宋_GB2312" w:hAnsi="仿宋_GB2312" w:eastAsia="仿宋_GB2312" w:cs="仿宋_GB2312"/>
          <w:strike/>
          <w:spacing w:val="4"/>
          <w:sz w:val="30"/>
          <w:szCs w:val="30"/>
          <w:highlight w:val="none"/>
        </w:rPr>
        <w:t xml:space="preserve">                             </w:t>
      </w:r>
      <w:r>
        <w:rPr>
          <w:rFonts w:hint="eastAsia" w:ascii="仿宋_GB2312" w:hAnsi="仿宋_GB2312" w:eastAsia="仿宋_GB2312" w:cs="仿宋_GB2312"/>
          <w:spacing w:val="-91"/>
          <w:sz w:val="30"/>
          <w:szCs w:val="30"/>
          <w:highlight w:val="none"/>
        </w:rPr>
        <w:t xml:space="preserve"> </w:t>
      </w:r>
      <w:r>
        <w:rPr>
          <w:rFonts w:hint="eastAsia" w:ascii="仿宋_GB2312" w:hAnsi="仿宋_GB2312" w:eastAsia="仿宋_GB2312" w:cs="仿宋_GB2312"/>
          <w:spacing w:val="-7"/>
          <w:sz w:val="30"/>
          <w:szCs w:val="30"/>
          <w:highlight w:val="none"/>
        </w:rPr>
        <w:t>×</w:t>
      </w:r>
      <w:r>
        <w:rPr>
          <w:rFonts w:hint="eastAsia" w:ascii="仿宋_GB2312" w:hAnsi="仿宋_GB2312" w:eastAsia="仿宋_GB2312" w:cs="仿宋_GB2312"/>
          <w:spacing w:val="-117"/>
          <w:sz w:val="30"/>
          <w:szCs w:val="30"/>
          <w:highlight w:val="none"/>
        </w:rPr>
        <w:t xml:space="preserve"> </w:t>
      </w:r>
      <w:r>
        <w:rPr>
          <w:rFonts w:hint="eastAsia" w:ascii="仿宋_GB2312" w:hAnsi="仿宋_GB2312" w:eastAsia="仿宋_GB2312" w:cs="仿宋_GB2312"/>
          <w:spacing w:val="-7"/>
          <w:sz w:val="30"/>
          <w:szCs w:val="30"/>
          <w:highlight w:val="none"/>
        </w:rPr>
        <w:t>100%</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00"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z w:val="30"/>
          <w:szCs w:val="30"/>
          <w:highlight w:val="none"/>
        </w:rPr>
        <mc:AlternateContent>
          <mc:Choice Requires="wps">
            <w:drawing>
              <wp:anchor distT="0" distB="0" distL="114300" distR="114300" simplePos="0" relativeHeight="251679744" behindDoc="0" locked="0" layoutInCell="1" allowOverlap="1">
                <wp:simplePos x="0" y="0"/>
                <wp:positionH relativeFrom="column">
                  <wp:posOffset>2389505</wp:posOffset>
                </wp:positionH>
                <wp:positionV relativeFrom="paragraph">
                  <wp:posOffset>64770</wp:posOffset>
                </wp:positionV>
                <wp:extent cx="1424305" cy="22288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424305" cy="222885"/>
                        </a:xfrm>
                        <a:prstGeom prst="rect">
                          <a:avLst/>
                        </a:prstGeom>
                        <a:noFill/>
                        <a:ln>
                          <a:noFill/>
                        </a:ln>
                      </wps:spPr>
                      <wps:txbx>
                        <w:txbxContent>
                          <w:p>
                            <w:pPr>
                              <w:spacing w:before="20" w:line="229" w:lineRule="auto"/>
                              <w:ind w:left="20"/>
                              <w:rPr>
                                <w:rFonts w:ascii="FangSong" w:hAnsi="FangSong" w:eastAsia="FangSong" w:cs="FangSong"/>
                                <w:sz w:val="25"/>
                                <w:szCs w:val="25"/>
                                <w:highlight w:val="none"/>
                              </w:rPr>
                            </w:pPr>
                            <w:r>
                              <w:rPr>
                                <w:rFonts w:hint="eastAsia" w:ascii="仿宋_GB2312" w:hAnsi="仿宋_GB2312" w:eastAsia="仿宋_GB2312" w:cs="仿宋_GB2312"/>
                                <w:spacing w:val="6"/>
                                <w:sz w:val="25"/>
                                <w:szCs w:val="25"/>
                                <w:highlight w:val="none"/>
                              </w:rPr>
                              <w:t>最高有效申报</w:t>
                            </w:r>
                            <w:r>
                              <w:rPr>
                                <w:rFonts w:ascii="FangSong" w:hAnsi="FangSong" w:eastAsia="FangSong" w:cs="FangSong"/>
                                <w:spacing w:val="6"/>
                                <w:sz w:val="25"/>
                                <w:szCs w:val="25"/>
                                <w:highlight w:val="none"/>
                              </w:rPr>
                              <w:t>价</w:t>
                            </w:r>
                          </w:p>
                        </w:txbxContent>
                      </wps:txbx>
                      <wps:bodyPr lIns="0" tIns="0" rIns="0" bIns="0" upright="1"/>
                    </wps:wsp>
                  </a:graphicData>
                </a:graphic>
              </wp:anchor>
            </w:drawing>
          </mc:Choice>
          <mc:Fallback>
            <w:pict>
              <v:shape id="_x0000_s1026" o:spid="_x0000_s1026" o:spt="202" type="#_x0000_t202" style="position:absolute;left:0pt;margin-left:188.15pt;margin-top:5.1pt;height:17.55pt;width:112.15pt;z-index:251679744;mso-width-relative:page;mso-height-relative:page;" filled="f" stroked="f" coordsize="21600,21600" o:gfxdata="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AdzTmd1wAAAAkBAAAPAAAAAAAAAAEAIAAAADgA&#10;AABkcnMvZG93bnJldi54bWxQSwECFAAUAAAACACHTuJAKHHcRrsBAAB0AwAADgAAAAAAAAABACAA&#10;AAA8AQAAZHJzL2Uyb0RvYy54bWxQSwUGAAAAAAYABgBZAQAAaQUAAAAA&#10;">
                <v:fill on="f" focussize="0,0"/>
                <v:stroke on="f"/>
                <v:imagedata o:title=""/>
                <o:lock v:ext="edit" aspectratio="f"/>
                <v:textbox inset="0mm,0mm,0mm,0mm">
                  <w:txbxContent>
                    <w:p>
                      <w:pPr>
                        <w:spacing w:before="20" w:line="229" w:lineRule="auto"/>
                        <w:ind w:left="20"/>
                        <w:rPr>
                          <w:rFonts w:ascii="FangSong" w:hAnsi="FangSong" w:eastAsia="FangSong" w:cs="FangSong"/>
                          <w:sz w:val="25"/>
                          <w:szCs w:val="25"/>
                          <w:highlight w:val="none"/>
                        </w:rPr>
                      </w:pPr>
                      <w:r>
                        <w:rPr>
                          <w:rFonts w:hint="eastAsia" w:ascii="仿宋_GB2312" w:hAnsi="仿宋_GB2312" w:eastAsia="仿宋_GB2312" w:cs="仿宋_GB2312"/>
                          <w:spacing w:val="6"/>
                          <w:sz w:val="25"/>
                          <w:szCs w:val="25"/>
                          <w:highlight w:val="none"/>
                        </w:rPr>
                        <w:t>最高有效申报</w:t>
                      </w:r>
                      <w:r>
                        <w:rPr>
                          <w:rFonts w:ascii="FangSong" w:hAnsi="FangSong" w:eastAsia="FangSong" w:cs="FangSong"/>
                          <w:spacing w:val="6"/>
                          <w:sz w:val="25"/>
                          <w:szCs w:val="25"/>
                          <w:highlight w:val="none"/>
                        </w:rPr>
                        <w:t>价</w:t>
                      </w:r>
                    </w:p>
                  </w:txbxContent>
                </v:textbox>
              </v:shape>
            </w:pict>
          </mc:Fallback>
        </mc:AlternateContent>
      </w:r>
    </w:p>
    <w:p>
      <w:pPr>
        <w:spacing w:before="181" w:line="333" w:lineRule="auto"/>
        <w:ind w:left="21" w:right="231" w:firstLine="597"/>
        <w:rPr>
          <w:rFonts w:hint="eastAsia" w:ascii="仿宋_GB2312" w:hAnsi="仿宋_GB2312" w:eastAsia="仿宋_GB2312" w:cs="仿宋_GB2312"/>
          <w:spacing w:val="9"/>
          <w:sz w:val="30"/>
          <w:szCs w:val="30"/>
          <w:highlight w:val="none"/>
          <w:lang w:val="en-US" w:eastAsia="zh-CN"/>
        </w:rPr>
      </w:pPr>
      <w:r>
        <w:rPr>
          <w:rFonts w:hint="eastAsia" w:ascii="仿宋_GB2312" w:hAnsi="仿宋_GB2312" w:eastAsia="仿宋_GB2312" w:cs="仿宋_GB2312"/>
          <w:spacing w:val="9"/>
          <w:sz w:val="30"/>
          <w:szCs w:val="30"/>
          <w:highlight w:val="none"/>
          <w:lang w:val="en-US" w:eastAsia="zh-CN"/>
        </w:rPr>
        <w:t>2.企业排名</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Chars="20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按照企业降幅由大到小进行企业排名，降幅最大的企业为第1名，降幅第二的企业为第2名，以此类推。当出现企业降幅相同的情况，按照以下规则依次确定排名：①未被信用评级的优先；②我省历史采购量大的优先。如仍无法确定优先级，则按照同一位次排名，排名同位次企业的处理办法相同。</w:t>
      </w: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2"/>
        <w:rPr>
          <w:rFonts w:hint="eastAsia" w:ascii="楷体_GB2312" w:hAnsi="楷体_GB2312" w:eastAsia="楷体_GB2312" w:cs="楷体_GB2312"/>
          <w:b w:val="0"/>
          <w:bCs/>
          <w:sz w:val="32"/>
          <w:szCs w:val="22"/>
          <w:highlight w:val="none"/>
          <w:lang w:val="en-US" w:eastAsia="zh-CN" w:bidi="ar-SA"/>
        </w:rPr>
      </w:pPr>
      <w:bookmarkStart w:id="128" w:name="_Toc12812"/>
      <w:bookmarkStart w:id="129" w:name="_Toc1324560428"/>
      <w:bookmarkStart w:id="130" w:name="_Toc1573809393"/>
      <w:bookmarkStart w:id="131" w:name="_Toc1598550688"/>
      <w:bookmarkStart w:id="132" w:name="_Toc1809027457"/>
      <w:r>
        <w:rPr>
          <w:rFonts w:hint="eastAsia" w:ascii="楷体_GB2312" w:hAnsi="楷体_GB2312" w:eastAsia="楷体_GB2312" w:cs="楷体_GB2312"/>
          <w:b w:val="0"/>
          <w:bCs/>
          <w:sz w:val="32"/>
          <w:szCs w:val="22"/>
          <w:highlight w:val="none"/>
          <w:lang w:val="en-US" w:eastAsia="zh-CN" w:bidi="ar-SA"/>
        </w:rPr>
        <w:t>（三）拟中选及协议采购量确定规则</w:t>
      </w:r>
      <w:bookmarkEnd w:id="128"/>
      <w:bookmarkEnd w:id="129"/>
      <w:bookmarkEnd w:id="130"/>
      <w:bookmarkEnd w:id="131"/>
      <w:bookmarkEnd w:id="132"/>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本次集中带量采购品种对应的最高有效申报价、中选降幅见下表。企业降幅达到中选降幅的，获得拟中选资格；</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3534"/>
        <w:gridCol w:w="2407"/>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pStyle w:val="8"/>
              <w:keepNext w:val="0"/>
              <w:keepLines w:val="0"/>
              <w:pageBreakBefore w:val="0"/>
              <w:widowControl w:val="0"/>
              <w:kinsoku/>
              <w:wordWrap/>
              <w:overflowPunct/>
              <w:topLinePunct w:val="0"/>
              <w:autoSpaceDE w:val="0"/>
              <w:autoSpaceDN w:val="0"/>
              <w:bidi w:val="0"/>
              <w:adjustRightInd/>
              <w:snapToGrid/>
              <w:spacing w:before="0" w:line="560" w:lineRule="exact"/>
              <w:ind w:right="0" w:rightChars="0"/>
              <w:jc w:val="center"/>
              <w:textAlignment w:val="auto"/>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序号</w:t>
            </w:r>
          </w:p>
        </w:tc>
        <w:tc>
          <w:tcPr>
            <w:tcW w:w="1950" w:type="pct"/>
          </w:tcPr>
          <w:p>
            <w:pPr>
              <w:pStyle w:val="8"/>
              <w:keepNext w:val="0"/>
              <w:keepLines w:val="0"/>
              <w:pageBreakBefore w:val="0"/>
              <w:widowControl w:val="0"/>
              <w:kinsoku/>
              <w:wordWrap/>
              <w:overflowPunct/>
              <w:topLinePunct w:val="0"/>
              <w:autoSpaceDE w:val="0"/>
              <w:autoSpaceDN w:val="0"/>
              <w:bidi w:val="0"/>
              <w:adjustRightInd/>
              <w:snapToGrid/>
              <w:spacing w:before="0" w:line="560" w:lineRule="exact"/>
              <w:ind w:right="0" w:rightChars="0"/>
              <w:jc w:val="center"/>
              <w:textAlignment w:val="auto"/>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品种</w:t>
            </w:r>
          </w:p>
        </w:tc>
        <w:tc>
          <w:tcPr>
            <w:tcW w:w="1328" w:type="pct"/>
          </w:tcPr>
          <w:p>
            <w:pPr>
              <w:pStyle w:val="8"/>
              <w:keepNext w:val="0"/>
              <w:keepLines w:val="0"/>
              <w:pageBreakBefore w:val="0"/>
              <w:widowControl w:val="0"/>
              <w:kinsoku/>
              <w:wordWrap/>
              <w:overflowPunct/>
              <w:topLinePunct w:val="0"/>
              <w:autoSpaceDE w:val="0"/>
              <w:autoSpaceDN w:val="0"/>
              <w:bidi w:val="0"/>
              <w:adjustRightInd/>
              <w:snapToGrid/>
              <w:spacing w:before="0" w:line="560" w:lineRule="exact"/>
              <w:ind w:right="0" w:rightChars="0"/>
              <w:jc w:val="center"/>
              <w:textAlignment w:val="auto"/>
              <w:rPr>
                <w:rFonts w:hint="default"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最高有效申报价（元）</w:t>
            </w:r>
          </w:p>
        </w:tc>
        <w:tc>
          <w:tcPr>
            <w:tcW w:w="1245" w:type="pct"/>
          </w:tcPr>
          <w:p>
            <w:pPr>
              <w:pStyle w:val="8"/>
              <w:keepNext w:val="0"/>
              <w:keepLines w:val="0"/>
              <w:pageBreakBefore w:val="0"/>
              <w:widowControl w:val="0"/>
              <w:kinsoku/>
              <w:wordWrap/>
              <w:overflowPunct/>
              <w:topLinePunct w:val="0"/>
              <w:autoSpaceDE w:val="0"/>
              <w:autoSpaceDN w:val="0"/>
              <w:bidi w:val="0"/>
              <w:adjustRightInd/>
              <w:snapToGrid/>
              <w:spacing w:before="0" w:line="560" w:lineRule="exact"/>
              <w:ind w:right="0" w:rightChars="0"/>
              <w:jc w:val="center"/>
              <w:textAlignment w:val="auto"/>
              <w:rPr>
                <w:rFonts w:hint="default"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中选降幅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pPr>
              <w:pStyle w:val="8"/>
              <w:keepNext w:val="0"/>
              <w:keepLines w:val="0"/>
              <w:pageBreakBefore w:val="0"/>
              <w:widowControl w:val="0"/>
              <w:kinsoku/>
              <w:wordWrap/>
              <w:overflowPunct/>
              <w:topLinePunct w:val="0"/>
              <w:autoSpaceDE w:val="0"/>
              <w:autoSpaceDN w:val="0"/>
              <w:bidi w:val="0"/>
              <w:adjustRightInd/>
              <w:snapToGrid/>
              <w:spacing w:before="0" w:line="560" w:lineRule="exact"/>
              <w:ind w:right="0" w:rightChars="0"/>
              <w:jc w:val="center"/>
              <w:textAlignment w:val="auto"/>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1</w:t>
            </w:r>
          </w:p>
        </w:tc>
        <w:tc>
          <w:tcPr>
            <w:tcW w:w="1950" w:type="pct"/>
          </w:tcPr>
          <w:p>
            <w:pPr>
              <w:pStyle w:val="8"/>
              <w:keepNext w:val="0"/>
              <w:keepLines w:val="0"/>
              <w:pageBreakBefore w:val="0"/>
              <w:widowControl w:val="0"/>
              <w:kinsoku/>
              <w:wordWrap/>
              <w:overflowPunct/>
              <w:topLinePunct w:val="0"/>
              <w:autoSpaceDE w:val="0"/>
              <w:autoSpaceDN w:val="0"/>
              <w:bidi w:val="0"/>
              <w:adjustRightInd/>
              <w:snapToGrid/>
              <w:spacing w:before="0" w:line="560" w:lineRule="exact"/>
              <w:ind w:right="0" w:rightChars="0"/>
              <w:jc w:val="both"/>
              <w:textAlignment w:val="auto"/>
              <w:rPr>
                <w:rFonts w:hint="eastAsia" w:ascii="仿宋_GB2312" w:hAnsi="仿宋_GB2312" w:eastAsia="仿宋_GB2312" w:cs="仿宋_GB2312"/>
                <w:highlight w:val="none"/>
                <w:vertAlign w:val="baseline"/>
              </w:rPr>
            </w:pPr>
            <w:r>
              <w:rPr>
                <w:rFonts w:hint="eastAsia" w:ascii="仿宋_GB2312" w:hAnsi="仿宋_GB2312" w:eastAsia="仿宋_GB2312" w:cs="仿宋_GB2312"/>
                <w:spacing w:val="-1"/>
                <w:sz w:val="32"/>
                <w:szCs w:val="32"/>
                <w:highlight w:val="none"/>
                <w:lang w:val="en-US" w:eastAsia="zh-CN" w:bidi="ar-SA"/>
              </w:rPr>
              <w:t>一次性使用阴道扩张器</w:t>
            </w:r>
          </w:p>
        </w:tc>
        <w:tc>
          <w:tcPr>
            <w:tcW w:w="1328" w:type="pct"/>
          </w:tcPr>
          <w:p>
            <w:pPr>
              <w:pStyle w:val="8"/>
              <w:keepNext w:val="0"/>
              <w:keepLines w:val="0"/>
              <w:pageBreakBefore w:val="0"/>
              <w:widowControl w:val="0"/>
              <w:kinsoku/>
              <w:wordWrap/>
              <w:overflowPunct/>
              <w:topLinePunct w:val="0"/>
              <w:autoSpaceDE w:val="0"/>
              <w:autoSpaceDN w:val="0"/>
              <w:bidi w:val="0"/>
              <w:adjustRightInd/>
              <w:snapToGrid/>
              <w:spacing w:before="0" w:line="560" w:lineRule="exact"/>
              <w:ind w:right="0" w:rightChars="0"/>
              <w:jc w:val="center"/>
              <w:textAlignment w:val="auto"/>
              <w:rPr>
                <w:rFonts w:hint="eastAsia" w:ascii="仿宋_GB2312" w:hAnsi="仿宋_GB2312" w:eastAsia="仿宋_GB2312" w:cs="仿宋_GB2312"/>
                <w:highlight w:val="none"/>
                <w:vertAlign w:val="baseline"/>
              </w:rPr>
            </w:pPr>
          </w:p>
        </w:tc>
        <w:tc>
          <w:tcPr>
            <w:tcW w:w="1245" w:type="pct"/>
          </w:tcPr>
          <w:p>
            <w:pPr>
              <w:pStyle w:val="8"/>
              <w:keepNext w:val="0"/>
              <w:keepLines w:val="0"/>
              <w:pageBreakBefore w:val="0"/>
              <w:widowControl w:val="0"/>
              <w:kinsoku/>
              <w:wordWrap/>
              <w:overflowPunct/>
              <w:topLinePunct w:val="0"/>
              <w:autoSpaceDE w:val="0"/>
              <w:autoSpaceDN w:val="0"/>
              <w:bidi w:val="0"/>
              <w:adjustRightInd/>
              <w:snapToGrid/>
              <w:spacing w:before="0" w:line="560" w:lineRule="exact"/>
              <w:ind w:right="0" w:rightChars="0"/>
              <w:jc w:val="center"/>
              <w:textAlignment w:val="auto"/>
              <w:rPr>
                <w:rFonts w:hint="default" w:ascii="仿宋_GB2312" w:hAnsi="仿宋_GB2312" w:eastAsia="仿宋_GB2312" w:cs="仿宋_GB2312"/>
                <w:highlight w:val="none"/>
                <w:vertAlign w:val="baseline"/>
                <w:lang w:val="en-US" w:eastAsia="zh-CN"/>
              </w:rPr>
            </w:pPr>
          </w:p>
        </w:tc>
      </w:tr>
    </w:tbl>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注：</w:t>
      </w: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1.最高有效申报价：以集采历史用量收集周期内，全省公立医疗机构采购该产品的加权平均价。</w:t>
      </w: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2.中选降幅计算：最高有效申报价相较于福建省内已开展过集采的地市中产生的最高中选价，两者之间的价格差值占比即为此中选降幅。</w:t>
      </w: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3" w:firstLineChars="200"/>
        <w:textAlignment w:val="auto"/>
        <w:outlineLvl w:val="2"/>
        <w:rPr>
          <w:rFonts w:hint="eastAsia" w:ascii="仿宋_GB2312" w:hAnsi="仿宋_GB2312" w:eastAsia="仿宋_GB2312" w:cs="仿宋_GB2312"/>
          <w:highlight w:val="none"/>
        </w:rPr>
      </w:pPr>
      <w:bookmarkStart w:id="133" w:name="_Toc1820989246"/>
      <w:bookmarkStart w:id="134" w:name="_Toc250995573"/>
      <w:bookmarkStart w:id="135" w:name="_Toc15739"/>
      <w:bookmarkStart w:id="136" w:name="_Toc353416298"/>
      <w:bookmarkStart w:id="137" w:name="_Toc1434251167"/>
      <w:bookmarkStart w:id="138" w:name="_Toc1448272884"/>
      <w:r>
        <w:rPr>
          <w:rFonts w:hint="eastAsia" w:ascii="仿宋_GB2312" w:hAnsi="仿宋_GB2312" w:eastAsia="仿宋_GB2312" w:cs="仿宋_GB2312"/>
          <w:b/>
          <w:bCs w:val="0"/>
          <w:sz w:val="32"/>
          <w:szCs w:val="22"/>
          <w:highlight w:val="none"/>
          <w:lang w:val="en-US" w:eastAsia="zh-CN" w:bidi="ar-SA"/>
        </w:rPr>
        <w:t>1.拟中选规则</w:t>
      </w:r>
      <w:bookmarkEnd w:id="133"/>
      <w:bookmarkEnd w:id="134"/>
      <w:bookmarkEnd w:id="135"/>
      <w:bookmarkEnd w:id="136"/>
      <w:bookmarkEnd w:id="137"/>
      <w:bookmarkEnd w:id="138"/>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申报企业符合以下条件之一的，获得拟中选资格。若申报企业拟中选，则该企业所有申报产品拟中选。</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（1）拟中选规则一：企业降幅达相应中选降幅要求的企业获得拟中选资格。</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highlight w:val="yellow"/>
          <w:lang w:val="en-US" w:eastAsia="zh-CN"/>
        </w:rPr>
      </w:pPr>
      <w:r>
        <w:rPr>
          <w:rFonts w:hint="eastAsia" w:ascii="仿宋_GB2312" w:hAnsi="仿宋_GB2312" w:eastAsia="仿宋_GB2312" w:cs="仿宋_GB2312"/>
          <w:spacing w:val="-1"/>
          <w:sz w:val="32"/>
          <w:szCs w:val="32"/>
          <w:highlight w:val="none"/>
          <w:lang w:val="en-US" w:eastAsia="zh-CN"/>
        </w:rPr>
        <w:t>（2）拟中选规则二：企业申报报价已符合报价要求，但企业报价未达到中选降幅要求，若该企业对应规格型号产品自采购文件发布日起三年内在全国各地市级（含联盟）及以上集中带量采购项目曾中选（含执行周期有交集及已中选未执行），则该规格型号产品获得拟中选资格。</w:t>
      </w: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3" w:firstLineChars="200"/>
        <w:textAlignment w:val="auto"/>
        <w:outlineLvl w:val="2"/>
        <w:rPr>
          <w:rFonts w:hint="eastAsia" w:ascii="仿宋_GB2312" w:hAnsi="仿宋_GB2312" w:eastAsia="仿宋_GB2312" w:cs="仿宋_GB2312"/>
          <w:b/>
          <w:bCs w:val="0"/>
          <w:sz w:val="32"/>
          <w:szCs w:val="22"/>
          <w:highlight w:val="none"/>
          <w:lang w:val="en-US" w:eastAsia="zh-CN" w:bidi="ar-SA"/>
        </w:rPr>
      </w:pPr>
      <w:bookmarkStart w:id="139" w:name="_Toc824712703"/>
      <w:bookmarkStart w:id="140" w:name="_Toc2102909841"/>
      <w:bookmarkStart w:id="141" w:name="_Toc1474930519"/>
      <w:bookmarkStart w:id="142" w:name="_Toc1184846055"/>
      <w:bookmarkStart w:id="143" w:name="_Toc31479"/>
      <w:bookmarkStart w:id="144" w:name="_Toc1576804125"/>
      <w:r>
        <w:rPr>
          <w:rFonts w:hint="eastAsia" w:ascii="仿宋_GB2312" w:hAnsi="仿宋_GB2312" w:eastAsia="仿宋_GB2312" w:cs="仿宋_GB2312"/>
          <w:b/>
          <w:bCs w:val="0"/>
          <w:sz w:val="32"/>
          <w:szCs w:val="22"/>
          <w:highlight w:val="none"/>
          <w:lang w:val="en-US" w:eastAsia="zh-CN" w:bidi="ar-SA"/>
        </w:rPr>
        <w:t>2.拟中选结果公示</w:t>
      </w:r>
      <w:bookmarkEnd w:id="139"/>
      <w:bookmarkEnd w:id="140"/>
      <w:bookmarkEnd w:id="141"/>
      <w:bookmarkEnd w:id="142"/>
      <w:bookmarkEnd w:id="143"/>
      <w:bookmarkEnd w:id="144"/>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36" w:firstLineChars="200"/>
        <w:jc w:val="left"/>
        <w:textAlignment w:val="auto"/>
        <w:rPr>
          <w:rFonts w:hint="eastAsia" w:ascii="仿宋_GB2312" w:hAnsi="仿宋_GB2312" w:eastAsia="仿宋_GB2312" w:cs="仿宋_GB2312"/>
          <w:spacing w:val="-1"/>
          <w:sz w:val="32"/>
          <w:szCs w:val="32"/>
          <w:highlight w:val="none"/>
        </w:rPr>
      </w:pPr>
      <w:r>
        <w:rPr>
          <w:rFonts w:hint="eastAsia" w:ascii="仿宋_GB2312" w:hAnsi="仿宋_GB2312" w:eastAsia="仿宋_GB2312" w:cs="仿宋_GB2312"/>
          <w:spacing w:val="-1"/>
          <w:sz w:val="32"/>
          <w:szCs w:val="32"/>
          <w:highlight w:val="none"/>
        </w:rPr>
        <w:t>拟中选结果产生后，予以公示并接受申投诉。</w:t>
      </w: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3" w:firstLineChars="200"/>
        <w:textAlignment w:val="auto"/>
        <w:outlineLvl w:val="2"/>
        <w:rPr>
          <w:rFonts w:hint="eastAsia" w:ascii="仿宋_GB2312" w:hAnsi="仿宋_GB2312" w:eastAsia="仿宋_GB2312" w:cs="仿宋_GB2312"/>
          <w:b/>
          <w:bCs w:val="0"/>
          <w:sz w:val="32"/>
          <w:szCs w:val="22"/>
          <w:highlight w:val="none"/>
          <w:lang w:val="en-US" w:eastAsia="zh-CN" w:bidi="ar-SA"/>
        </w:rPr>
      </w:pPr>
      <w:bookmarkStart w:id="145" w:name="_Toc319835361"/>
      <w:bookmarkStart w:id="146" w:name="_Toc20568"/>
      <w:bookmarkStart w:id="147" w:name="_Toc1398724895"/>
      <w:bookmarkStart w:id="148" w:name="_Toc1086941583"/>
      <w:r>
        <w:rPr>
          <w:rFonts w:hint="eastAsia" w:ascii="仿宋_GB2312" w:hAnsi="仿宋_GB2312" w:eastAsia="仿宋_GB2312" w:cs="仿宋_GB2312"/>
          <w:b/>
          <w:bCs w:val="0"/>
          <w:sz w:val="32"/>
          <w:szCs w:val="22"/>
          <w:highlight w:val="none"/>
          <w:lang w:val="en-US" w:eastAsia="zh-CN" w:bidi="ar-SA"/>
        </w:rPr>
        <w:t>3.中选结果公布</w:t>
      </w:r>
      <w:bookmarkEnd w:id="145"/>
      <w:bookmarkEnd w:id="146"/>
      <w:bookmarkEnd w:id="147"/>
      <w:bookmarkEnd w:id="148"/>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拟中选结果公示无异议后，中选结果在</w:t>
      </w:r>
      <w:r>
        <w:rPr>
          <w:rFonts w:hint="eastAsia" w:ascii="仿宋_GB2312" w:hAnsi="仿宋_GB2312" w:eastAsia="仿宋_GB2312" w:cs="仿宋_GB2312"/>
          <w:highlight w:val="none"/>
          <w:lang w:val="en-US" w:eastAsia="zh-CN"/>
        </w:rPr>
        <w:t>泉州市</w:t>
      </w:r>
      <w:r>
        <w:rPr>
          <w:rFonts w:hint="eastAsia" w:ascii="仿宋_GB2312" w:hAnsi="仿宋_GB2312" w:eastAsia="仿宋_GB2312" w:cs="仿宋_GB2312"/>
          <w:highlight w:val="none"/>
        </w:rPr>
        <w:t>医疗保障局官网公布。</w:t>
      </w: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3" w:firstLineChars="200"/>
        <w:textAlignment w:val="auto"/>
        <w:outlineLvl w:val="2"/>
        <w:rPr>
          <w:rFonts w:hint="eastAsia" w:ascii="仿宋_GB2312" w:hAnsi="仿宋_GB2312" w:eastAsia="仿宋_GB2312" w:cs="仿宋_GB2312"/>
          <w:b/>
          <w:bCs w:val="0"/>
          <w:sz w:val="32"/>
          <w:szCs w:val="22"/>
          <w:highlight w:val="none"/>
          <w:lang w:val="en-US" w:eastAsia="zh-CN" w:bidi="ar-SA"/>
        </w:rPr>
      </w:pPr>
      <w:bookmarkStart w:id="149" w:name="_Toc24362"/>
      <w:bookmarkStart w:id="150" w:name="_Toc1731284099"/>
      <w:bookmarkStart w:id="151" w:name="_Toc928767780"/>
      <w:bookmarkStart w:id="152" w:name="_Toc2013310203"/>
      <w:bookmarkStart w:id="153" w:name="_Toc321343886"/>
      <w:bookmarkStart w:id="154" w:name="_Toc1076475870"/>
      <w:r>
        <w:rPr>
          <w:rFonts w:hint="eastAsia" w:ascii="仿宋_GB2312" w:hAnsi="仿宋_GB2312" w:eastAsia="仿宋_GB2312" w:cs="仿宋_GB2312"/>
          <w:b/>
          <w:bCs w:val="0"/>
          <w:sz w:val="32"/>
          <w:szCs w:val="22"/>
          <w:highlight w:val="none"/>
          <w:lang w:val="en-US" w:eastAsia="zh-CN" w:bidi="ar-SA"/>
        </w:rPr>
        <w:t>4.协议采购量确定</w:t>
      </w:r>
      <w:bookmarkEnd w:id="149"/>
      <w:bookmarkEnd w:id="150"/>
      <w:bookmarkEnd w:id="151"/>
      <w:bookmarkEnd w:id="152"/>
      <w:bookmarkEnd w:id="153"/>
      <w:bookmarkEnd w:id="154"/>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b w:val="0"/>
          <w:bCs w:val="0"/>
          <w:highlight w:val="none"/>
        </w:rPr>
      </w:pPr>
      <w:r>
        <w:rPr>
          <w:rFonts w:hint="eastAsia" w:ascii="仿宋_GB2312" w:hAnsi="仿宋_GB2312" w:eastAsia="仿宋_GB2312" w:cs="仿宋_GB2312"/>
          <w:b w:val="0"/>
          <w:bCs w:val="0"/>
          <w:highlight w:val="none"/>
          <w:lang w:val="en-US" w:eastAsia="zh-CN"/>
        </w:rPr>
        <w:t>由参与本次联盟采购的医疗机构在中选企业中自行选择分配（最多不超过2家）。并登录联盟集采网址完成协议量确认工作。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1"/>
        <w:rPr>
          <w:rFonts w:hint="eastAsia" w:ascii="黑体" w:hAnsi="黑体" w:eastAsia="黑体" w:cs="黑体"/>
          <w:b w:val="0"/>
          <w:bCs w:val="0"/>
          <w:highlight w:val="none"/>
          <w:lang w:eastAsia="zh-CN"/>
        </w:rPr>
      </w:pPr>
      <w:bookmarkStart w:id="155" w:name="四、采购与配送"/>
      <w:bookmarkEnd w:id="155"/>
      <w:bookmarkStart w:id="156" w:name="_Toc1435918690"/>
      <w:bookmarkStart w:id="157" w:name="_Toc1952239689"/>
      <w:bookmarkStart w:id="158" w:name="_Toc903294936"/>
      <w:bookmarkStart w:id="159" w:name="_Toc7300"/>
      <w:bookmarkStart w:id="160" w:name="_Toc63437395"/>
      <w:r>
        <w:rPr>
          <w:rFonts w:hint="eastAsia" w:ascii="黑体" w:hAnsi="黑体" w:eastAsia="黑体" w:cs="黑体"/>
          <w:b w:val="0"/>
          <w:bCs w:val="0"/>
          <w:highlight w:val="none"/>
          <w:lang w:val="en-US" w:eastAsia="zh-CN"/>
        </w:rPr>
        <w:t>四、采购与配送</w:t>
      </w:r>
      <w:bookmarkEnd w:id="156"/>
      <w:bookmarkEnd w:id="157"/>
      <w:bookmarkEnd w:id="158"/>
      <w:bookmarkEnd w:id="159"/>
      <w:bookmarkEnd w:id="160"/>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2"/>
        <w:rPr>
          <w:rFonts w:hint="eastAsia" w:ascii="楷体_GB2312" w:hAnsi="楷体_GB2312" w:eastAsia="楷体_GB2312" w:cs="楷体_GB2312"/>
          <w:b w:val="0"/>
          <w:bCs/>
          <w:sz w:val="32"/>
          <w:szCs w:val="22"/>
          <w:highlight w:val="none"/>
          <w:lang w:val="en-US" w:eastAsia="zh-CN" w:bidi="ar-SA"/>
        </w:rPr>
      </w:pPr>
      <w:bookmarkStart w:id="161" w:name="_Toc2037294157"/>
      <w:bookmarkStart w:id="162" w:name="_Toc8954"/>
      <w:bookmarkStart w:id="163" w:name="_Toc64197844"/>
      <w:r>
        <w:rPr>
          <w:rFonts w:hint="eastAsia" w:ascii="楷体_GB2312" w:hAnsi="楷体_GB2312" w:eastAsia="楷体_GB2312" w:cs="楷体_GB2312"/>
          <w:b w:val="0"/>
          <w:bCs/>
          <w:sz w:val="32"/>
          <w:szCs w:val="22"/>
          <w:highlight w:val="none"/>
          <w:lang w:val="en-US" w:eastAsia="zh-CN" w:bidi="ar-SA"/>
        </w:rPr>
        <w:t>（一）签订带量购销合同</w:t>
      </w:r>
      <w:bookmarkEnd w:id="161"/>
      <w:bookmarkEnd w:id="162"/>
      <w:bookmarkEnd w:id="163"/>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1.各中选企业应按照中选产品、中选价格及协议采购量与配送企业、医疗机构签订带量购销合同，并严格履行购销合同，切实保障医用耗材质量和供应。</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2.购销合同签订后，医疗机构与中选企业不得再订立背离合同实质性内容的其他协议或提出除合同之外的任何利益性要求。</w:t>
      </w: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2"/>
        <w:rPr>
          <w:rFonts w:hint="eastAsia" w:ascii="楷体_GB2312" w:hAnsi="楷体_GB2312" w:eastAsia="楷体_GB2312" w:cs="楷体_GB2312"/>
          <w:b w:val="0"/>
          <w:bCs/>
          <w:sz w:val="32"/>
          <w:szCs w:val="22"/>
          <w:highlight w:val="none"/>
          <w:lang w:val="en-US" w:eastAsia="zh-CN" w:bidi="ar-SA"/>
        </w:rPr>
      </w:pPr>
      <w:bookmarkStart w:id="164" w:name="_Toc1323628931"/>
      <w:bookmarkStart w:id="165" w:name="_Toc936373314"/>
      <w:bookmarkStart w:id="166" w:name="_Toc8248"/>
      <w:r>
        <w:rPr>
          <w:rFonts w:hint="eastAsia" w:ascii="楷体_GB2312" w:hAnsi="楷体_GB2312" w:eastAsia="楷体_GB2312" w:cs="楷体_GB2312"/>
          <w:b w:val="0"/>
          <w:bCs/>
          <w:sz w:val="32"/>
          <w:szCs w:val="22"/>
          <w:highlight w:val="none"/>
          <w:lang w:val="en-US" w:eastAsia="zh-CN" w:bidi="ar-SA"/>
        </w:rPr>
        <w:t>（二）医用耗材配送</w:t>
      </w:r>
      <w:bookmarkEnd w:id="164"/>
      <w:bookmarkEnd w:id="165"/>
      <w:bookmarkEnd w:id="166"/>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1.各中选企业应确保产品质量，保证供应配送，按不低于集中带量采购前水平提供中选产品配套设施及伴随服务，以保障正常临床医疗工作开展。</w:t>
      </w: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2"/>
        <w:rPr>
          <w:rFonts w:hint="eastAsia" w:ascii="楷体_GB2312" w:hAnsi="楷体_GB2312" w:eastAsia="楷体_GB2312" w:cs="楷体_GB2312"/>
          <w:b w:val="0"/>
          <w:bCs/>
          <w:sz w:val="32"/>
          <w:szCs w:val="22"/>
          <w:highlight w:val="none"/>
          <w:lang w:val="en-US" w:eastAsia="zh-CN" w:bidi="ar-SA"/>
        </w:rPr>
      </w:pPr>
      <w:bookmarkStart w:id="167" w:name="_Toc21006"/>
      <w:bookmarkStart w:id="168" w:name="_Toc1517613483"/>
      <w:bookmarkStart w:id="169" w:name="_Toc448344044"/>
      <w:bookmarkStart w:id="170" w:name="_Toc866123182"/>
      <w:r>
        <w:rPr>
          <w:rFonts w:hint="eastAsia" w:ascii="楷体_GB2312" w:hAnsi="楷体_GB2312" w:eastAsia="楷体_GB2312" w:cs="楷体_GB2312"/>
          <w:b w:val="0"/>
          <w:bCs/>
          <w:sz w:val="32"/>
          <w:szCs w:val="22"/>
          <w:highlight w:val="none"/>
          <w:lang w:val="en-US" w:eastAsia="zh-CN" w:bidi="ar-SA"/>
        </w:rPr>
        <w:t>（1）配套设施</w:t>
      </w:r>
      <w:bookmarkEnd w:id="167"/>
      <w:bookmarkEnd w:id="168"/>
      <w:bookmarkEnd w:id="169"/>
      <w:bookmarkEnd w:id="170"/>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若存在系统对接的相关事项，由中选企业与医疗机构协商解决，鼓励医疗机构协调院内系统承建商免费提供系统对接。</w:t>
      </w: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firstLine="640" w:firstLineChars="200"/>
        <w:textAlignment w:val="auto"/>
        <w:outlineLvl w:val="2"/>
        <w:rPr>
          <w:rFonts w:hint="eastAsia" w:ascii="楷体_GB2312" w:hAnsi="楷体_GB2312" w:eastAsia="楷体_GB2312" w:cs="楷体_GB2312"/>
          <w:b w:val="0"/>
          <w:bCs/>
          <w:sz w:val="32"/>
          <w:szCs w:val="22"/>
          <w:highlight w:val="none"/>
          <w:lang w:val="en-US" w:eastAsia="zh-CN" w:bidi="ar-SA"/>
        </w:rPr>
      </w:pPr>
      <w:bookmarkStart w:id="171" w:name="_Toc28045"/>
      <w:bookmarkStart w:id="172" w:name="_Toc1945713832"/>
      <w:bookmarkStart w:id="173" w:name="_Toc1288160508"/>
      <w:bookmarkStart w:id="174" w:name="_Toc866533362"/>
      <w:r>
        <w:rPr>
          <w:rFonts w:hint="eastAsia" w:ascii="楷体_GB2312" w:hAnsi="楷体_GB2312" w:eastAsia="楷体_GB2312" w:cs="楷体_GB2312"/>
          <w:b w:val="0"/>
          <w:bCs/>
          <w:sz w:val="32"/>
          <w:szCs w:val="22"/>
          <w:highlight w:val="none"/>
          <w:lang w:val="en-US" w:eastAsia="zh-CN" w:bidi="ar-SA"/>
        </w:rPr>
        <w:t>（2）伴随服务</w:t>
      </w:r>
      <w:bookmarkEnd w:id="171"/>
      <w:bookmarkEnd w:id="172"/>
      <w:bookmarkEnd w:id="173"/>
      <w:bookmarkEnd w:id="174"/>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配合医疗机构进行定期质控管理，若存在系统更新的相关事项，提供系统的后续升级更新服务等。</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2.集中采购供应的中选医用耗材产品应是保障临床需求的常用包装。</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3.配送企业应按照合同约定和医疗机构采购需求及时送达医用耗材。</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1"/>
        <w:rPr>
          <w:rFonts w:hint="eastAsia" w:ascii="黑体" w:hAnsi="黑体" w:eastAsia="黑体" w:cs="黑体"/>
          <w:b w:val="0"/>
          <w:bCs w:val="0"/>
          <w:highlight w:val="none"/>
          <w:lang w:eastAsia="zh-CN"/>
        </w:rPr>
      </w:pPr>
      <w:bookmarkStart w:id="175" w:name="五、货款结算"/>
      <w:bookmarkEnd w:id="175"/>
      <w:bookmarkStart w:id="176" w:name="_Toc1878881555"/>
      <w:bookmarkStart w:id="177" w:name="_Toc1779897194"/>
      <w:bookmarkStart w:id="178" w:name="_Toc2118225312"/>
      <w:bookmarkStart w:id="179" w:name="_Toc1331012549"/>
      <w:bookmarkStart w:id="180" w:name="_Toc16125"/>
      <w:bookmarkStart w:id="181" w:name="_Toc2096081493"/>
      <w:r>
        <w:rPr>
          <w:rFonts w:hint="eastAsia" w:ascii="黑体" w:hAnsi="黑体" w:eastAsia="黑体" w:cs="黑体"/>
          <w:b w:val="0"/>
          <w:bCs w:val="0"/>
          <w:highlight w:val="none"/>
          <w:lang w:eastAsia="zh-CN"/>
        </w:rPr>
        <w:t>五、货款结算</w:t>
      </w:r>
      <w:bookmarkEnd w:id="176"/>
      <w:bookmarkEnd w:id="177"/>
      <w:bookmarkEnd w:id="178"/>
      <w:bookmarkEnd w:id="179"/>
      <w:bookmarkEnd w:id="180"/>
      <w:bookmarkEnd w:id="181"/>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各公立医疗机构均应通过福建省医疗保障信息平台药品和医用耗材招标和采购交易子系统采购中选产品，当地医保经办机构于每月15日前按规定向企业支付上一月的医用耗材产品货款。</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1"/>
        <w:rPr>
          <w:rFonts w:hint="eastAsia" w:ascii="黑体" w:hAnsi="黑体" w:eastAsia="黑体" w:cs="黑体"/>
          <w:b w:val="0"/>
          <w:bCs w:val="0"/>
          <w:highlight w:val="none"/>
          <w:lang w:eastAsia="zh-CN"/>
        </w:rPr>
      </w:pPr>
      <w:bookmarkStart w:id="182" w:name="_Toc1359141321"/>
      <w:bookmarkStart w:id="183" w:name="_Toc1762749397"/>
      <w:bookmarkStart w:id="184" w:name="_Toc31254"/>
      <w:bookmarkStart w:id="185" w:name="_Toc260615473"/>
      <w:bookmarkStart w:id="186" w:name="_Toc1315395829"/>
      <w:bookmarkStart w:id="187" w:name="_Toc2138243891"/>
      <w:r>
        <w:rPr>
          <w:rFonts w:hint="eastAsia" w:ascii="黑体" w:hAnsi="黑体" w:eastAsia="黑体" w:cs="黑体"/>
          <w:b w:val="0"/>
          <w:bCs w:val="0"/>
          <w:highlight w:val="none"/>
          <w:lang w:eastAsia="zh-CN"/>
        </w:rPr>
        <w:t>六、其他</w:t>
      </w:r>
      <w:bookmarkEnd w:id="182"/>
      <w:bookmarkEnd w:id="183"/>
      <w:bookmarkEnd w:id="184"/>
      <w:bookmarkEnd w:id="185"/>
      <w:bookmarkEnd w:id="186"/>
      <w:bookmarkEnd w:id="187"/>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（一）申报企业、配送企业如有以下行为，经有关部门认定情节严重的将被列入“违规名单”：</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1.提供回扣或其他商业贿赂，进行非法促销活动。</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2.以低于成本的价格恶意申报，扰乱市场秩序。</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bookmarkStart w:id="188" w:name="六、其他"/>
      <w:bookmarkEnd w:id="188"/>
      <w:r>
        <w:rPr>
          <w:rFonts w:hint="eastAsia" w:ascii="仿宋_GB2312" w:hAnsi="仿宋_GB2312" w:eastAsia="仿宋_GB2312" w:cs="仿宋_GB2312"/>
          <w:spacing w:val="-1"/>
          <w:sz w:val="32"/>
          <w:szCs w:val="32"/>
          <w:highlight w:val="none"/>
          <w:lang w:val="en-US" w:eastAsia="zh-CN"/>
        </w:rPr>
        <w:t>3.以欺诈、串通投标、滥用市场支配地位等方式竞标扰乱集中采购秩序。</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bookmarkStart w:id="189" w:name="_Toc259855241"/>
      <w:r>
        <w:rPr>
          <w:rFonts w:hint="eastAsia" w:ascii="仿宋_GB2312" w:hAnsi="仿宋_GB2312" w:eastAsia="仿宋_GB2312" w:cs="仿宋_GB2312"/>
          <w:spacing w:val="-1"/>
          <w:sz w:val="32"/>
          <w:szCs w:val="32"/>
          <w:highlight w:val="none"/>
          <w:lang w:val="en-US" w:eastAsia="zh-CN"/>
        </w:rPr>
        <w:t>4.以向采购方、采购机构行贿等手段牟取中选。</w:t>
      </w:r>
      <w:bookmarkEnd w:id="189"/>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5.提供虚假证明文件及文献资料，或者以其他方式弄虚作假，骗取中选。</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6.在规定期限内不签订带量购销合同。</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7.中选企业、配送企业未按采购方以及法律法规要求实行配送。</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8.放弃拟中选或中选资格。</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9.除不可抗力因素外，不履行供货承诺，影响临床使用。</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10.中选后发生严重质量问题。</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11.中选后在规定的抽检或飞行检查中发现严重违背申报材料中作出承诺的情形。</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bookmarkStart w:id="190" w:name="_Toc1552781136"/>
      <w:r>
        <w:rPr>
          <w:rFonts w:hint="eastAsia" w:ascii="仿宋_GB2312" w:hAnsi="仿宋_GB2312" w:eastAsia="仿宋_GB2312" w:cs="仿宋_GB2312"/>
          <w:spacing w:val="-1"/>
          <w:sz w:val="32"/>
          <w:szCs w:val="32"/>
          <w:highlight w:val="none"/>
          <w:lang w:val="en-US" w:eastAsia="zh-CN"/>
        </w:rPr>
        <w:t>12.其他违反法律法规的行为。</w:t>
      </w:r>
      <w:bookmarkEnd w:id="190"/>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（二）申报企业、配送企业列入“违规名单”的，取消相关企业</w:t>
      </w:r>
      <w:r>
        <w:rPr>
          <w:rFonts w:hint="eastAsia" w:ascii="仿宋_GB2312" w:hAnsi="仿宋_GB2312" w:eastAsia="仿宋_GB2312" w:cs="仿宋_GB2312"/>
          <w:spacing w:val="-1"/>
          <w:sz w:val="32"/>
          <w:szCs w:val="32"/>
          <w:highlight w:val="none"/>
          <w:lang w:val="en-US" w:eastAsia="zh-CN" w:bidi="ar-SA"/>
        </w:rPr>
        <w:t>本次联盟采购</w:t>
      </w:r>
      <w:r>
        <w:rPr>
          <w:rFonts w:hint="eastAsia" w:ascii="仿宋_GB2312" w:hAnsi="仿宋_GB2312" w:eastAsia="仿宋_GB2312" w:cs="仿宋_GB2312"/>
          <w:spacing w:val="-1"/>
          <w:sz w:val="32"/>
          <w:szCs w:val="32"/>
          <w:highlight w:val="none"/>
          <w:lang w:val="en-US" w:eastAsia="zh-CN"/>
        </w:rPr>
        <w:t>的申报、中选、配送资格。同时视情节轻重取消上述企业在列入“违规名单”之日起2年内参与我省各地市医用耗材采购活动的资格。</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（三）患者使用中选医用耗材时，因中选医用耗材生产质量原因造成人身伤害的，由中选企业承担全部赔偿责任。</w:t>
      </w:r>
    </w:p>
    <w:p>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default"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（四）中选结果实际执行日起，中选产品医疗器械注册证应在有效期内。如未在有效期内，则取消该注册证产品的中选资格。</w:t>
      </w: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36" w:firstLineChars="200"/>
        <w:textAlignment w:val="auto"/>
        <w:rPr>
          <w:rFonts w:hint="eastAsia" w:ascii="仿宋_GB2312" w:hAnsi="仿宋_GB2312" w:eastAsia="仿宋_GB2312" w:cs="仿宋_GB2312"/>
          <w:spacing w:val="-1"/>
          <w:sz w:val="32"/>
          <w:szCs w:val="32"/>
          <w:highlight w:val="none"/>
          <w:lang w:val="en-US" w:eastAsia="zh-CN"/>
        </w:rPr>
        <w:sectPr>
          <w:footerReference r:id="rId8" w:type="default"/>
          <w:pgSz w:w="11910" w:h="16840"/>
          <w:pgMar w:top="2098" w:right="1474" w:bottom="1984" w:left="1587" w:header="1145" w:footer="1276" w:gutter="0"/>
          <w:pgBorders>
            <w:top w:val="none" w:sz="0" w:space="0"/>
            <w:left w:val="none" w:sz="0" w:space="0"/>
            <w:bottom w:val="none" w:sz="0" w:space="0"/>
            <w:right w:val="none" w:sz="0" w:space="0"/>
          </w:pgBorders>
          <w:pgNumType w:fmt="decimal" w:start="1"/>
          <w:cols w:space="720" w:num="1"/>
        </w:sectPr>
      </w:pPr>
      <w:r>
        <w:rPr>
          <w:rFonts w:hint="eastAsia" w:ascii="仿宋_GB2312" w:hAnsi="仿宋_GB2312" w:eastAsia="仿宋_GB2312" w:cs="仿宋_GB2312"/>
          <w:spacing w:val="-1"/>
          <w:sz w:val="32"/>
          <w:szCs w:val="32"/>
          <w:highlight w:val="none"/>
          <w:lang w:val="en-US" w:eastAsia="zh-CN"/>
        </w:rPr>
        <w:t>（五）本采购文件仅适用于</w:t>
      </w:r>
      <w:r>
        <w:rPr>
          <w:rFonts w:hint="eastAsia" w:ascii="仿宋_GB2312" w:hAnsi="仿宋_GB2312" w:eastAsia="仿宋_GB2312" w:cs="仿宋_GB2312"/>
          <w:spacing w:val="-1"/>
          <w:sz w:val="32"/>
          <w:szCs w:val="32"/>
          <w:highlight w:val="none"/>
          <w:lang w:val="en-US" w:eastAsia="zh-CN" w:bidi="ar-SA"/>
        </w:rPr>
        <w:t>本次联盟采购</w:t>
      </w:r>
      <w:r>
        <w:rPr>
          <w:rFonts w:hint="eastAsia" w:ascii="仿宋_GB2312" w:hAnsi="仿宋_GB2312" w:eastAsia="仿宋_GB2312" w:cs="仿宋_GB2312"/>
          <w:spacing w:val="-1"/>
          <w:sz w:val="32"/>
          <w:szCs w:val="32"/>
          <w:highlight w:val="none"/>
          <w:lang w:val="en-US" w:eastAsia="zh-CN"/>
        </w:rPr>
        <w:t>邀请函中所述项目的医用耗材及相关服务，最终解释权归</w:t>
      </w:r>
      <w:r>
        <w:rPr>
          <w:rFonts w:hint="eastAsia" w:ascii="仿宋_GB2312" w:hAnsi="仿宋_GB2312" w:eastAsia="仿宋_GB2312" w:cs="仿宋_GB2312"/>
          <w:spacing w:val="-1"/>
          <w:sz w:val="32"/>
          <w:szCs w:val="32"/>
          <w:highlight w:val="none"/>
          <w:lang w:val="en-US" w:eastAsia="zh-CN" w:bidi="ar-SA"/>
        </w:rPr>
        <w:t>一次性使用阴道扩张器全省性联盟集采领导小组办公室</w:t>
      </w:r>
      <w:r>
        <w:rPr>
          <w:rFonts w:hint="eastAsia" w:ascii="仿宋_GB2312" w:hAnsi="仿宋_GB2312" w:eastAsia="仿宋_GB2312" w:cs="仿宋_GB2312"/>
          <w:spacing w:val="-1"/>
          <w:sz w:val="32"/>
          <w:szCs w:val="32"/>
          <w:highlight w:val="none"/>
          <w:lang w:val="en-US" w:eastAsia="zh-CN"/>
        </w:rPr>
        <w:t>。</w:t>
      </w:r>
    </w:p>
    <w:p>
      <w:pPr>
        <w:pStyle w:val="2"/>
        <w:bidi w:val="0"/>
        <w:ind w:left="0" w:leftChars="0" w:firstLine="0" w:firstLineChars="0"/>
        <w:jc w:val="center"/>
        <w:outlineLvl w:val="0"/>
        <w:rPr>
          <w:rFonts w:hint="eastAsia" w:ascii="方正小标宋简体" w:hAnsi="方正小标宋简体" w:eastAsia="方正小标宋简体" w:cs="方正小标宋简体"/>
          <w:highlight w:val="none"/>
        </w:rPr>
      </w:pPr>
      <w:bookmarkStart w:id="191" w:name="_TOC_250000"/>
      <w:bookmarkEnd w:id="191"/>
      <w:bookmarkStart w:id="192" w:name="_Toc10494"/>
      <w:bookmarkStart w:id="193" w:name="_Toc528788401"/>
      <w:bookmarkStart w:id="194" w:name="_Toc1992205014"/>
      <w:bookmarkStart w:id="195" w:name="_Toc75028391"/>
      <w:bookmarkStart w:id="196" w:name="_Toc1663486159"/>
      <w:bookmarkStart w:id="197" w:name="_Toc1745576607"/>
      <w:bookmarkStart w:id="198" w:name="_Toc1473727139"/>
      <w:r>
        <w:rPr>
          <w:rFonts w:hint="eastAsia" w:ascii="方正小标宋简体" w:hAnsi="方正小标宋简体" w:eastAsia="方正小标宋简体" w:cs="方正小标宋简体"/>
          <w:highlight w:val="none"/>
        </w:rPr>
        <w:t>第三部分</w:t>
      </w:r>
      <w:r>
        <w:rPr>
          <w:rFonts w:hint="eastAsia" w:ascii="方正小标宋简体" w:hAnsi="方正小标宋简体" w:eastAsia="方正小标宋简体" w:cs="方正小标宋简体"/>
          <w:highlight w:val="none"/>
          <w:lang w:val="en-US" w:eastAsia="zh-CN"/>
        </w:rPr>
        <w:t xml:space="preserve"> </w:t>
      </w:r>
      <w:r>
        <w:rPr>
          <w:rFonts w:hint="eastAsia" w:ascii="方正小标宋简体" w:hAnsi="方正小标宋简体" w:eastAsia="方正小标宋简体" w:cs="方正小标宋简体"/>
          <w:highlight w:val="none"/>
        </w:rPr>
        <w:t>附件</w:t>
      </w:r>
      <w:bookmarkEnd w:id="192"/>
      <w:bookmarkEnd w:id="193"/>
      <w:bookmarkEnd w:id="194"/>
      <w:bookmarkEnd w:id="195"/>
      <w:bookmarkEnd w:id="196"/>
      <w:bookmarkEnd w:id="197"/>
      <w:bookmarkEnd w:id="198"/>
    </w:p>
    <w:p>
      <w:pPr>
        <w:pStyle w:val="14"/>
        <w:keepNext w:val="0"/>
        <w:keepLines w:val="0"/>
        <w:widowControl w:val="0"/>
        <w:suppressLineNumbers w:val="0"/>
        <w:autoSpaceDE w:val="0"/>
        <w:autoSpaceDN w:val="0"/>
        <w:spacing w:before="4" w:beforeAutospacing="0" w:after="0" w:afterAutospacing="0"/>
        <w:ind w:left="0" w:right="508" w:rightChars="231"/>
        <w:jc w:val="left"/>
        <w:rPr>
          <w:rFonts w:hint="eastAsia" w:ascii="宋体" w:hAnsi="仿宋" w:eastAsia="仿宋" w:cs="仿宋"/>
          <w:sz w:val="21"/>
          <w:szCs w:val="21"/>
          <w:highlight w:val="none"/>
        </w:rPr>
      </w:pPr>
      <w:r>
        <w:rPr>
          <w:rFonts w:hint="eastAsia" w:ascii="宋体" w:hAnsi="仿宋" w:eastAsia="仿宋" w:cs="仿宋"/>
          <w:kern w:val="0"/>
          <w:sz w:val="21"/>
          <w:szCs w:val="21"/>
          <w:highlight w:val="none"/>
          <w:lang w:val="en-US" w:eastAsia="zh-CN" w:bidi="ar"/>
        </w:rPr>
        <w:t xml:space="preserve"> </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jc w:val="both"/>
        <w:textAlignment w:val="baseline"/>
        <w:rPr>
          <w:rFonts w:hint="eastAsia" w:ascii="黑体" w:hAnsi="黑体" w:eastAsia="黑体" w:cs="黑体"/>
          <w:snapToGrid w:val="0"/>
          <w:color w:val="auto"/>
          <w:kern w:val="0"/>
          <w:sz w:val="32"/>
          <w:szCs w:val="32"/>
          <w:highlight w:val="none"/>
          <w:lang w:val="en-US" w:eastAsia="zh-CN"/>
        </w:rPr>
      </w:pPr>
      <w:bookmarkStart w:id="199" w:name="_Toc93056801"/>
      <w:bookmarkStart w:id="200" w:name="_Toc2030899334"/>
      <w:bookmarkStart w:id="201" w:name="_Toc159533306"/>
      <w:r>
        <w:rPr>
          <w:rFonts w:hint="eastAsia" w:ascii="黑体" w:hAnsi="黑体" w:eastAsia="黑体" w:cs="黑体"/>
          <w:snapToGrid w:val="0"/>
          <w:color w:val="auto"/>
          <w:kern w:val="0"/>
          <w:sz w:val="32"/>
          <w:szCs w:val="32"/>
          <w:highlight w:val="none"/>
          <w:lang w:val="en-US" w:eastAsia="zh-CN"/>
        </w:rPr>
        <w:t>附件1</w:t>
      </w:r>
      <w:bookmarkEnd w:id="199"/>
      <w:bookmarkEnd w:id="200"/>
      <w:bookmarkEnd w:id="201"/>
    </w:p>
    <w:p>
      <w:pPr>
        <w:keepNext w:val="0"/>
        <w:keepLines w:val="0"/>
        <w:pageBreakBefore w:val="0"/>
        <w:widowControl w:val="0"/>
        <w:kinsoku/>
        <w:wordWrap/>
        <w:overflowPunct/>
        <w:topLinePunct w:val="0"/>
        <w:autoSpaceDE/>
        <w:autoSpaceDN/>
        <w:bidi w:val="0"/>
        <w:adjustRightInd/>
        <w:snapToGrid/>
        <w:spacing w:before="0" w:after="0" w:line="560" w:lineRule="exact"/>
        <w:ind w:left="0" w:right="508" w:rightChars="231" w:firstLine="640" w:firstLineChars="200"/>
        <w:jc w:val="center"/>
        <w:textAlignment w:val="auto"/>
        <w:rPr>
          <w:rFonts w:hint="eastAsia" w:ascii="黑体" w:hAnsi="黑体" w:eastAsia="黑体" w:cs="黑体"/>
          <w:color w:val="000000"/>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508" w:rightChars="231" w:firstLine="0" w:firstLineChars="0"/>
        <w:jc w:val="center"/>
        <w:textAlignment w:val="auto"/>
        <w:rPr>
          <w:rFonts w:hint="eastAsia" w:ascii="方正小标宋简体" w:hAnsi="方正小标宋简体" w:eastAsia="方正小标宋简体" w:cs="方正小标宋简体"/>
          <w:color w:val="000000"/>
          <w:kern w:val="0"/>
          <w:sz w:val="32"/>
          <w:szCs w:val="32"/>
          <w:highlight w:val="none"/>
          <w:lang w:val="en-US" w:eastAsia="zh-CN" w:bidi="ar"/>
        </w:rPr>
      </w:pPr>
      <w:r>
        <w:rPr>
          <w:rFonts w:hint="eastAsia" w:ascii="方正小标宋简体" w:hAnsi="方正小标宋简体" w:eastAsia="方正小标宋简体" w:cs="方正小标宋简体"/>
          <w:color w:val="000000"/>
          <w:kern w:val="0"/>
          <w:sz w:val="32"/>
          <w:szCs w:val="32"/>
          <w:highlight w:val="none"/>
          <w:lang w:val="en-US" w:eastAsia="zh-CN" w:bidi="ar"/>
        </w:rPr>
        <w:t>一次性使用阴道扩张器全省性联盟集中带量采购</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508" w:rightChars="231" w:firstLine="0" w:firstLineChars="0"/>
        <w:jc w:val="center"/>
        <w:textAlignment w:val="auto"/>
        <w:rPr>
          <w:rFonts w:hint="eastAsia" w:ascii="方正小标宋简体" w:hAnsi="方正小标宋简体" w:eastAsia="方正小标宋简体" w:cs="方正小标宋简体"/>
          <w:color w:val="000000"/>
          <w:kern w:val="0"/>
          <w:sz w:val="32"/>
          <w:szCs w:val="32"/>
          <w:highlight w:val="none"/>
          <w:lang w:val="en-US" w:eastAsia="zh-CN" w:bidi="ar"/>
        </w:rPr>
      </w:pPr>
      <w:r>
        <w:rPr>
          <w:rFonts w:hint="eastAsia" w:ascii="方正小标宋简体" w:hAnsi="方正小标宋简体" w:eastAsia="方正小标宋简体" w:cs="方正小标宋简体"/>
          <w:color w:val="000000"/>
          <w:kern w:val="0"/>
          <w:sz w:val="32"/>
          <w:szCs w:val="32"/>
          <w:highlight w:val="none"/>
          <w:lang w:val="en-US" w:eastAsia="zh-CN" w:bidi="ar"/>
        </w:rPr>
        <w:t>参与情况表</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508" w:rightChars="231"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rPr>
      </w:pP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0"/>
        <w:gridCol w:w="6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95" w:type="pct"/>
            <w:tcBorders>
              <w:tl2br w:val="single" w:color="auto" w:sz="4" w:space="0"/>
            </w:tcBorders>
          </w:tcPr>
          <w:p>
            <w:pPr>
              <w:keepNext w:val="0"/>
              <w:keepLines w:val="0"/>
              <w:pageBreakBefore w:val="0"/>
              <w:widowControl w:val="0"/>
              <w:kinsoku/>
              <w:wordWrap/>
              <w:overflowPunct/>
              <w:topLinePunct w:val="0"/>
              <w:autoSpaceDE/>
              <w:autoSpaceDN/>
              <w:bidi w:val="0"/>
              <w:adjustRightInd/>
              <w:snapToGrid/>
              <w:spacing w:before="0" w:after="0" w:line="560" w:lineRule="exact"/>
              <w:ind w:left="0" w:right="-73" w:rightChars="-33"/>
              <w:jc w:val="center"/>
              <w:textAlignment w:val="auto"/>
              <w:rPr>
                <w:rFonts w:hint="eastAsia" w:ascii="仿宋_GB2312" w:hAnsi="仿宋_GB2312" w:eastAsia="仿宋_GB2312" w:cs="仿宋_GB2312"/>
                <w:b/>
                <w:bCs/>
                <w:color w:val="000000"/>
                <w:kern w:val="2"/>
                <w:sz w:val="32"/>
                <w:szCs w:val="32"/>
                <w:highlight w:val="none"/>
                <w:vertAlign w:val="baseline"/>
                <w:lang w:val="en-US" w:eastAsia="zh-CN"/>
              </w:rPr>
            </w:pPr>
            <w:r>
              <w:rPr>
                <w:rFonts w:hint="eastAsia" w:ascii="仿宋_GB2312" w:hAnsi="仿宋_GB2312" w:eastAsia="仿宋_GB2312" w:cs="仿宋_GB2312"/>
                <w:b/>
                <w:bCs/>
                <w:color w:val="000000"/>
                <w:kern w:val="2"/>
                <w:sz w:val="32"/>
                <w:szCs w:val="32"/>
                <w:highlight w:val="none"/>
                <w:vertAlign w:val="baseline"/>
                <w:lang w:val="en-US" w:eastAsia="zh-CN"/>
              </w:rPr>
              <w:t xml:space="preserve">       品种</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73" w:rightChars="-33" w:firstLine="321" w:firstLineChars="100"/>
              <w:jc w:val="both"/>
              <w:textAlignment w:val="auto"/>
              <w:rPr>
                <w:rFonts w:hint="default" w:ascii="仿宋_GB2312" w:hAnsi="仿宋_GB2312" w:eastAsia="仿宋_GB2312" w:cs="仿宋_GB2312"/>
                <w:b/>
                <w:bCs/>
                <w:color w:val="000000"/>
                <w:kern w:val="2"/>
                <w:sz w:val="32"/>
                <w:szCs w:val="32"/>
                <w:highlight w:val="none"/>
                <w:vertAlign w:val="baseline"/>
                <w:lang w:val="en-US" w:eastAsia="zh-CN"/>
              </w:rPr>
            </w:pPr>
            <w:r>
              <w:rPr>
                <w:rFonts w:hint="eastAsia" w:ascii="仿宋_GB2312" w:hAnsi="仿宋_GB2312" w:eastAsia="仿宋_GB2312" w:cs="仿宋_GB2312"/>
                <w:b/>
                <w:bCs/>
                <w:color w:val="000000"/>
                <w:kern w:val="2"/>
                <w:sz w:val="32"/>
                <w:szCs w:val="32"/>
                <w:highlight w:val="none"/>
                <w:vertAlign w:val="baseline"/>
                <w:lang w:val="en-US" w:eastAsia="zh-CN"/>
              </w:rPr>
              <w:t>地市</w:t>
            </w:r>
          </w:p>
        </w:tc>
        <w:tc>
          <w:tcPr>
            <w:tcW w:w="2904" w:type="pct"/>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left="0" w:right="-125" w:rightChars="-57"/>
              <w:jc w:val="center"/>
              <w:textAlignment w:val="auto"/>
              <w:rPr>
                <w:rFonts w:hint="default" w:ascii="仿宋_GB2312" w:hAnsi="仿宋_GB2312" w:eastAsia="仿宋_GB2312" w:cs="仿宋_GB2312"/>
                <w:b/>
                <w:bCs/>
                <w:color w:val="000000"/>
                <w:kern w:val="2"/>
                <w:sz w:val="32"/>
                <w:szCs w:val="32"/>
                <w:highlight w:val="none"/>
                <w:vertAlign w:val="baseline"/>
                <w:lang w:val="en-US" w:eastAsia="zh-CN"/>
              </w:rPr>
            </w:pPr>
            <w:r>
              <w:rPr>
                <w:rFonts w:hint="default" w:ascii="仿宋_GB2312" w:hAnsi="仿宋_GB2312" w:eastAsia="仿宋_GB2312" w:cs="仿宋_GB2312"/>
                <w:b/>
                <w:bCs/>
                <w:color w:val="000000"/>
                <w:kern w:val="2"/>
                <w:sz w:val="32"/>
                <w:szCs w:val="32"/>
                <w:highlight w:val="none"/>
                <w:vertAlign w:val="baseline"/>
                <w:lang w:val="en-US" w:eastAsia="zh-CN"/>
              </w:rPr>
              <w:t>一次性使用阴道扩张器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95" w:type="pct"/>
          </w:tcPr>
          <w:p>
            <w:pPr>
              <w:keepNext w:val="0"/>
              <w:keepLines w:val="0"/>
              <w:pageBreakBefore w:val="0"/>
              <w:widowControl w:val="0"/>
              <w:kinsoku/>
              <w:wordWrap/>
              <w:overflowPunct/>
              <w:topLinePunct w:val="0"/>
              <w:autoSpaceDE/>
              <w:autoSpaceDN/>
              <w:bidi w:val="0"/>
              <w:adjustRightInd/>
              <w:snapToGrid/>
              <w:spacing w:before="0" w:after="0" w:line="560" w:lineRule="exact"/>
              <w:ind w:left="0" w:right="-73" w:rightChars="-33"/>
              <w:jc w:val="center"/>
              <w:textAlignment w:val="auto"/>
              <w:rPr>
                <w:rFonts w:hint="default" w:ascii="仿宋_GB2312" w:hAnsi="仿宋_GB2312" w:eastAsia="仿宋_GB2312" w:cs="仿宋_GB2312"/>
                <w:color w:val="000000"/>
                <w:kern w:val="2"/>
                <w:sz w:val="32"/>
                <w:szCs w:val="32"/>
                <w:highlight w:val="none"/>
                <w:vertAlign w:val="baseline"/>
                <w:lang w:val="en-US" w:eastAsia="zh-CN"/>
              </w:rPr>
            </w:pPr>
            <w:r>
              <w:rPr>
                <w:rFonts w:hint="eastAsia" w:ascii="仿宋_GB2312" w:hAnsi="仿宋_GB2312" w:eastAsia="仿宋_GB2312" w:cs="仿宋_GB2312"/>
                <w:color w:val="000000"/>
                <w:kern w:val="2"/>
                <w:sz w:val="32"/>
                <w:szCs w:val="32"/>
                <w:highlight w:val="none"/>
                <w:vertAlign w:val="baseline"/>
                <w:lang w:val="en-US" w:eastAsia="zh-CN"/>
              </w:rPr>
              <w:t>省本级</w:t>
            </w:r>
          </w:p>
        </w:tc>
        <w:tc>
          <w:tcPr>
            <w:tcW w:w="2904" w:type="pct"/>
          </w:tcPr>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仿宋_GB2312" w:hAnsi="仿宋_GB2312" w:eastAsia="仿宋_GB2312" w:cs="仿宋_GB2312"/>
                <w:color w:val="000000"/>
                <w:kern w:val="2"/>
                <w:sz w:val="32"/>
                <w:szCs w:val="32"/>
                <w:highlight w:val="none"/>
                <w:vertAlign w:val="baseline"/>
                <w:lang w:val="en-US" w:eastAsia="zh-CN"/>
              </w:rPr>
            </w:pPr>
            <w:r>
              <w:rPr>
                <w:rFonts w:hint="eastAsia" w:ascii="仿宋_GB2312" w:hAnsi="仿宋_GB2312" w:eastAsia="仿宋_GB2312" w:cs="仿宋_GB2312"/>
                <w:color w:val="000000"/>
                <w:kern w:val="2"/>
                <w:sz w:val="32"/>
                <w:szCs w:val="32"/>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95" w:type="pct"/>
          </w:tcPr>
          <w:p>
            <w:pPr>
              <w:keepNext w:val="0"/>
              <w:keepLines w:val="0"/>
              <w:pageBreakBefore w:val="0"/>
              <w:widowControl w:val="0"/>
              <w:kinsoku/>
              <w:wordWrap/>
              <w:overflowPunct/>
              <w:topLinePunct w:val="0"/>
              <w:autoSpaceDE/>
              <w:autoSpaceDN/>
              <w:bidi w:val="0"/>
              <w:adjustRightInd/>
              <w:snapToGrid/>
              <w:spacing w:before="0" w:after="0" w:line="560" w:lineRule="exact"/>
              <w:ind w:left="0" w:right="-73" w:rightChars="-33"/>
              <w:jc w:val="center"/>
              <w:textAlignment w:val="auto"/>
              <w:rPr>
                <w:rFonts w:hint="default" w:ascii="仿宋_GB2312" w:hAnsi="仿宋_GB2312" w:eastAsia="仿宋_GB2312" w:cs="仿宋_GB2312"/>
                <w:color w:val="000000"/>
                <w:kern w:val="2"/>
                <w:sz w:val="32"/>
                <w:szCs w:val="32"/>
                <w:highlight w:val="none"/>
                <w:vertAlign w:val="baseline"/>
                <w:lang w:val="en-US" w:eastAsia="zh-CN"/>
              </w:rPr>
            </w:pPr>
            <w:r>
              <w:rPr>
                <w:rFonts w:hint="eastAsia" w:ascii="仿宋_GB2312" w:hAnsi="仿宋_GB2312" w:eastAsia="仿宋_GB2312" w:cs="仿宋_GB2312"/>
                <w:color w:val="000000"/>
                <w:kern w:val="2"/>
                <w:sz w:val="32"/>
                <w:szCs w:val="32"/>
                <w:highlight w:val="none"/>
                <w:vertAlign w:val="baseline"/>
                <w:lang w:val="en-US" w:eastAsia="zh-CN"/>
              </w:rPr>
              <w:t>福州市</w:t>
            </w:r>
          </w:p>
        </w:tc>
        <w:tc>
          <w:tcPr>
            <w:tcW w:w="2904" w:type="pct"/>
            <w:vAlign w:val="top"/>
          </w:tcPr>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仿宋_GB2312" w:hAnsi="仿宋_GB2312" w:eastAsia="仿宋_GB2312" w:cs="仿宋_GB2312"/>
                <w:color w:val="000000"/>
                <w:kern w:val="2"/>
                <w:sz w:val="32"/>
                <w:szCs w:val="32"/>
                <w:highlight w:val="none"/>
                <w:vertAlign w:val="baseline"/>
                <w:lang w:val="en-US" w:eastAsia="zh-CN" w:bidi="ar-SA"/>
              </w:rPr>
            </w:pPr>
            <w:r>
              <w:rPr>
                <w:rFonts w:hint="eastAsia" w:ascii="仿宋_GB2312" w:hAnsi="仿宋_GB2312" w:eastAsia="仿宋_GB2312" w:cs="仿宋_GB2312"/>
                <w:color w:val="000000"/>
                <w:kern w:val="2"/>
                <w:sz w:val="32"/>
                <w:szCs w:val="32"/>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95" w:type="pct"/>
            <w:vAlign w:val="top"/>
          </w:tcPr>
          <w:p>
            <w:pPr>
              <w:keepNext w:val="0"/>
              <w:keepLines w:val="0"/>
              <w:pageBreakBefore w:val="0"/>
              <w:widowControl w:val="0"/>
              <w:kinsoku/>
              <w:wordWrap/>
              <w:overflowPunct/>
              <w:topLinePunct w:val="0"/>
              <w:autoSpaceDE/>
              <w:autoSpaceDN/>
              <w:bidi w:val="0"/>
              <w:adjustRightInd/>
              <w:snapToGrid/>
              <w:spacing w:before="0" w:after="0" w:line="560" w:lineRule="exact"/>
              <w:ind w:left="0" w:right="-73" w:rightChars="-33"/>
              <w:jc w:val="center"/>
              <w:textAlignment w:val="auto"/>
              <w:rPr>
                <w:rFonts w:hint="default" w:ascii="仿宋_GB2312" w:hAnsi="仿宋_GB2312" w:eastAsia="仿宋_GB2312" w:cs="仿宋_GB2312"/>
                <w:color w:val="000000"/>
                <w:kern w:val="2"/>
                <w:sz w:val="32"/>
                <w:szCs w:val="32"/>
                <w:highlight w:val="none"/>
                <w:vertAlign w:val="baseline"/>
                <w:lang w:val="en-US" w:eastAsia="zh-CN" w:bidi="ar-SA"/>
              </w:rPr>
            </w:pPr>
            <w:r>
              <w:rPr>
                <w:rFonts w:hint="eastAsia" w:ascii="仿宋_GB2312" w:hAnsi="仿宋_GB2312" w:eastAsia="仿宋_GB2312" w:cs="仿宋_GB2312"/>
                <w:color w:val="000000"/>
                <w:kern w:val="2"/>
                <w:sz w:val="32"/>
                <w:szCs w:val="32"/>
                <w:highlight w:val="none"/>
                <w:vertAlign w:val="baseline"/>
                <w:lang w:val="en-US" w:eastAsia="zh-CN"/>
              </w:rPr>
              <w:t>厦门市</w:t>
            </w:r>
          </w:p>
        </w:tc>
        <w:tc>
          <w:tcPr>
            <w:tcW w:w="2904" w:type="pct"/>
            <w:vAlign w:val="top"/>
          </w:tcPr>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仿宋_GB2312" w:hAnsi="仿宋_GB2312" w:eastAsia="仿宋_GB2312" w:cs="仿宋_GB2312"/>
                <w:color w:val="000000"/>
                <w:kern w:val="2"/>
                <w:sz w:val="32"/>
                <w:szCs w:val="32"/>
                <w:highlight w:val="none"/>
                <w:vertAlign w:val="baseline"/>
                <w:lang w:val="en-US" w:eastAsia="zh-CN" w:bidi="ar-SA"/>
              </w:rPr>
            </w:pPr>
            <w:r>
              <w:rPr>
                <w:rFonts w:hint="eastAsia" w:ascii="仿宋_GB2312" w:hAnsi="仿宋_GB2312" w:eastAsia="仿宋_GB2312" w:cs="仿宋_GB2312"/>
                <w:color w:val="000000"/>
                <w:kern w:val="2"/>
                <w:sz w:val="32"/>
                <w:szCs w:val="32"/>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95" w:type="pct"/>
            <w:vAlign w:val="top"/>
          </w:tcPr>
          <w:p>
            <w:pPr>
              <w:keepNext w:val="0"/>
              <w:keepLines w:val="0"/>
              <w:pageBreakBefore w:val="0"/>
              <w:widowControl w:val="0"/>
              <w:kinsoku/>
              <w:wordWrap/>
              <w:overflowPunct/>
              <w:topLinePunct w:val="0"/>
              <w:autoSpaceDE/>
              <w:autoSpaceDN/>
              <w:bidi w:val="0"/>
              <w:adjustRightInd/>
              <w:snapToGrid/>
              <w:spacing w:before="0" w:after="0" w:line="560" w:lineRule="exact"/>
              <w:ind w:left="0" w:right="-73" w:rightChars="-33"/>
              <w:jc w:val="center"/>
              <w:textAlignment w:val="auto"/>
              <w:rPr>
                <w:rFonts w:hint="default" w:ascii="仿宋_GB2312" w:hAnsi="仿宋_GB2312" w:eastAsia="仿宋_GB2312" w:cs="仿宋_GB2312"/>
                <w:color w:val="000000"/>
                <w:kern w:val="2"/>
                <w:sz w:val="32"/>
                <w:szCs w:val="32"/>
                <w:highlight w:val="none"/>
                <w:vertAlign w:val="baseline"/>
                <w:lang w:val="en-US" w:eastAsia="zh-CN" w:bidi="ar-SA"/>
              </w:rPr>
            </w:pPr>
            <w:r>
              <w:rPr>
                <w:rFonts w:hint="eastAsia" w:ascii="仿宋_GB2312" w:hAnsi="仿宋_GB2312" w:eastAsia="仿宋_GB2312" w:cs="仿宋_GB2312"/>
                <w:color w:val="000000"/>
                <w:kern w:val="2"/>
                <w:sz w:val="32"/>
                <w:szCs w:val="32"/>
                <w:highlight w:val="none"/>
                <w:vertAlign w:val="baseline"/>
                <w:lang w:val="en-US" w:eastAsia="zh-CN"/>
              </w:rPr>
              <w:t>泉州市</w:t>
            </w:r>
          </w:p>
        </w:tc>
        <w:tc>
          <w:tcPr>
            <w:tcW w:w="2904" w:type="pct"/>
            <w:vAlign w:val="top"/>
          </w:tcPr>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仿宋_GB2312" w:hAnsi="仿宋_GB2312" w:eastAsia="仿宋_GB2312" w:cs="仿宋_GB2312"/>
                <w:color w:val="000000"/>
                <w:kern w:val="2"/>
                <w:sz w:val="32"/>
                <w:szCs w:val="32"/>
                <w:highlight w:val="none"/>
                <w:vertAlign w:val="baseline"/>
                <w:lang w:val="en-US" w:eastAsia="zh-CN" w:bidi="ar-SA"/>
              </w:rPr>
            </w:pPr>
            <w:r>
              <w:rPr>
                <w:rFonts w:hint="eastAsia" w:ascii="仿宋_GB2312" w:hAnsi="仿宋_GB2312" w:eastAsia="仿宋_GB2312" w:cs="仿宋_GB2312"/>
                <w:color w:val="000000"/>
                <w:kern w:val="2"/>
                <w:sz w:val="32"/>
                <w:szCs w:val="32"/>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95" w:type="pct"/>
            <w:vAlign w:val="top"/>
          </w:tcPr>
          <w:p>
            <w:pPr>
              <w:keepNext w:val="0"/>
              <w:keepLines w:val="0"/>
              <w:pageBreakBefore w:val="0"/>
              <w:widowControl w:val="0"/>
              <w:kinsoku/>
              <w:wordWrap/>
              <w:overflowPunct/>
              <w:topLinePunct w:val="0"/>
              <w:autoSpaceDE/>
              <w:autoSpaceDN/>
              <w:bidi w:val="0"/>
              <w:adjustRightInd/>
              <w:snapToGrid/>
              <w:spacing w:before="0" w:after="0" w:line="560" w:lineRule="exact"/>
              <w:ind w:left="0" w:right="-73" w:rightChars="-33"/>
              <w:jc w:val="center"/>
              <w:textAlignment w:val="auto"/>
              <w:rPr>
                <w:rFonts w:hint="default" w:ascii="仿宋_GB2312" w:hAnsi="仿宋_GB2312" w:eastAsia="仿宋_GB2312" w:cs="仿宋_GB2312"/>
                <w:color w:val="000000"/>
                <w:kern w:val="2"/>
                <w:sz w:val="32"/>
                <w:szCs w:val="32"/>
                <w:highlight w:val="none"/>
                <w:vertAlign w:val="baseline"/>
                <w:lang w:val="en-US" w:eastAsia="zh-CN" w:bidi="ar-SA"/>
              </w:rPr>
            </w:pPr>
            <w:r>
              <w:rPr>
                <w:rFonts w:hint="eastAsia" w:ascii="仿宋_GB2312" w:hAnsi="仿宋_GB2312" w:eastAsia="仿宋_GB2312" w:cs="仿宋_GB2312"/>
                <w:color w:val="000000"/>
                <w:kern w:val="2"/>
                <w:sz w:val="32"/>
                <w:szCs w:val="32"/>
                <w:highlight w:val="none"/>
                <w:vertAlign w:val="baseline"/>
                <w:lang w:val="en-US" w:eastAsia="zh-CN"/>
              </w:rPr>
              <w:t>漳州市</w:t>
            </w:r>
          </w:p>
        </w:tc>
        <w:tc>
          <w:tcPr>
            <w:tcW w:w="2904" w:type="pct"/>
            <w:vAlign w:val="top"/>
          </w:tcPr>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仿宋_GB2312" w:hAnsi="仿宋_GB2312" w:eastAsia="仿宋_GB2312" w:cs="仿宋_GB2312"/>
                <w:color w:val="000000"/>
                <w:kern w:val="2"/>
                <w:sz w:val="32"/>
                <w:szCs w:val="32"/>
                <w:highlight w:val="none"/>
                <w:vertAlign w:val="baseline"/>
                <w:lang w:val="en-US" w:eastAsia="zh-CN" w:bidi="ar-SA"/>
              </w:rPr>
            </w:pPr>
            <w:r>
              <w:rPr>
                <w:rFonts w:hint="eastAsia" w:ascii="仿宋_GB2312" w:hAnsi="仿宋_GB2312" w:eastAsia="仿宋_GB2312" w:cs="仿宋_GB2312"/>
                <w:color w:val="000000"/>
                <w:kern w:val="2"/>
                <w:sz w:val="32"/>
                <w:szCs w:val="32"/>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95" w:type="pct"/>
            <w:vAlign w:val="top"/>
          </w:tcPr>
          <w:p>
            <w:pPr>
              <w:keepNext w:val="0"/>
              <w:keepLines w:val="0"/>
              <w:pageBreakBefore w:val="0"/>
              <w:widowControl w:val="0"/>
              <w:kinsoku/>
              <w:wordWrap/>
              <w:overflowPunct/>
              <w:topLinePunct w:val="0"/>
              <w:autoSpaceDE/>
              <w:autoSpaceDN/>
              <w:bidi w:val="0"/>
              <w:adjustRightInd/>
              <w:snapToGrid/>
              <w:spacing w:before="0" w:after="0" w:line="560" w:lineRule="exact"/>
              <w:ind w:left="0" w:right="-73" w:rightChars="-33"/>
              <w:jc w:val="center"/>
              <w:textAlignment w:val="auto"/>
              <w:rPr>
                <w:rFonts w:hint="default" w:ascii="仿宋_GB2312" w:hAnsi="仿宋_GB2312" w:eastAsia="仿宋_GB2312" w:cs="仿宋_GB2312"/>
                <w:color w:val="000000"/>
                <w:kern w:val="2"/>
                <w:sz w:val="32"/>
                <w:szCs w:val="32"/>
                <w:highlight w:val="none"/>
                <w:vertAlign w:val="baseline"/>
                <w:lang w:val="en-US" w:eastAsia="zh-CN" w:bidi="ar-SA"/>
              </w:rPr>
            </w:pPr>
            <w:r>
              <w:rPr>
                <w:rFonts w:hint="eastAsia" w:ascii="仿宋_GB2312" w:hAnsi="仿宋_GB2312" w:eastAsia="仿宋_GB2312" w:cs="仿宋_GB2312"/>
                <w:color w:val="000000"/>
                <w:kern w:val="2"/>
                <w:sz w:val="32"/>
                <w:szCs w:val="32"/>
                <w:highlight w:val="none"/>
                <w:vertAlign w:val="baseline"/>
                <w:lang w:val="en-US" w:eastAsia="zh-CN"/>
              </w:rPr>
              <w:t>三明市</w:t>
            </w:r>
          </w:p>
        </w:tc>
        <w:tc>
          <w:tcPr>
            <w:tcW w:w="2904" w:type="pct"/>
            <w:vAlign w:val="top"/>
          </w:tcPr>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仿宋_GB2312" w:hAnsi="仿宋_GB2312" w:eastAsia="仿宋_GB2312" w:cs="仿宋_GB2312"/>
                <w:color w:val="000000"/>
                <w:kern w:val="2"/>
                <w:sz w:val="32"/>
                <w:szCs w:val="32"/>
                <w:highlight w:val="none"/>
                <w:vertAlign w:val="baseline"/>
                <w:lang w:val="en-US" w:eastAsia="zh-CN" w:bidi="ar-SA"/>
              </w:rPr>
            </w:pPr>
            <w:r>
              <w:rPr>
                <w:rFonts w:hint="eastAsia" w:ascii="仿宋_GB2312" w:hAnsi="仿宋_GB2312" w:eastAsia="仿宋_GB2312" w:cs="仿宋_GB2312"/>
                <w:color w:val="000000"/>
                <w:kern w:val="2"/>
                <w:sz w:val="32"/>
                <w:szCs w:val="32"/>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95" w:type="pct"/>
            <w:vAlign w:val="top"/>
          </w:tcPr>
          <w:p>
            <w:pPr>
              <w:keepNext w:val="0"/>
              <w:keepLines w:val="0"/>
              <w:pageBreakBefore w:val="0"/>
              <w:widowControl w:val="0"/>
              <w:kinsoku/>
              <w:wordWrap/>
              <w:overflowPunct/>
              <w:topLinePunct w:val="0"/>
              <w:autoSpaceDE/>
              <w:autoSpaceDN/>
              <w:bidi w:val="0"/>
              <w:adjustRightInd/>
              <w:snapToGrid/>
              <w:spacing w:before="0" w:after="0" w:line="560" w:lineRule="exact"/>
              <w:ind w:left="0" w:right="-73" w:rightChars="-33"/>
              <w:jc w:val="center"/>
              <w:textAlignment w:val="auto"/>
              <w:rPr>
                <w:rFonts w:hint="default" w:ascii="仿宋_GB2312" w:hAnsi="仿宋_GB2312" w:eastAsia="仿宋_GB2312" w:cs="仿宋_GB2312"/>
                <w:color w:val="000000"/>
                <w:kern w:val="2"/>
                <w:sz w:val="32"/>
                <w:szCs w:val="32"/>
                <w:highlight w:val="none"/>
                <w:vertAlign w:val="baseline"/>
                <w:lang w:val="en-US" w:eastAsia="zh-CN" w:bidi="ar-SA"/>
              </w:rPr>
            </w:pPr>
            <w:r>
              <w:rPr>
                <w:rFonts w:hint="eastAsia" w:ascii="仿宋_GB2312" w:hAnsi="仿宋_GB2312" w:eastAsia="仿宋_GB2312" w:cs="仿宋_GB2312"/>
                <w:color w:val="000000"/>
                <w:kern w:val="2"/>
                <w:sz w:val="32"/>
                <w:szCs w:val="32"/>
                <w:highlight w:val="none"/>
                <w:vertAlign w:val="baseline"/>
                <w:lang w:val="en-US" w:eastAsia="zh-CN"/>
              </w:rPr>
              <w:t>莆田市</w:t>
            </w:r>
          </w:p>
        </w:tc>
        <w:tc>
          <w:tcPr>
            <w:tcW w:w="2904" w:type="pct"/>
            <w:vAlign w:val="top"/>
          </w:tcPr>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仿宋_GB2312" w:hAnsi="仿宋_GB2312" w:eastAsia="仿宋_GB2312" w:cs="仿宋_GB2312"/>
                <w:color w:val="000000"/>
                <w:kern w:val="2"/>
                <w:sz w:val="32"/>
                <w:szCs w:val="32"/>
                <w:highlight w:val="none"/>
                <w:vertAlign w:val="baseline"/>
                <w:lang w:val="en-US" w:eastAsia="zh-CN" w:bidi="ar-SA"/>
              </w:rPr>
            </w:pPr>
            <w:r>
              <w:rPr>
                <w:rFonts w:hint="eastAsia" w:ascii="仿宋_GB2312" w:hAnsi="仿宋_GB2312" w:eastAsia="仿宋_GB2312" w:cs="仿宋_GB2312"/>
                <w:color w:val="000000"/>
                <w:kern w:val="2"/>
                <w:sz w:val="32"/>
                <w:szCs w:val="32"/>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95" w:type="pct"/>
            <w:vAlign w:val="top"/>
          </w:tcPr>
          <w:p>
            <w:pPr>
              <w:keepNext w:val="0"/>
              <w:keepLines w:val="0"/>
              <w:pageBreakBefore w:val="0"/>
              <w:widowControl w:val="0"/>
              <w:kinsoku/>
              <w:wordWrap/>
              <w:overflowPunct/>
              <w:topLinePunct w:val="0"/>
              <w:autoSpaceDE/>
              <w:autoSpaceDN/>
              <w:bidi w:val="0"/>
              <w:adjustRightInd/>
              <w:snapToGrid/>
              <w:spacing w:before="0" w:after="0" w:line="560" w:lineRule="exact"/>
              <w:ind w:left="0" w:right="-73" w:rightChars="-33"/>
              <w:jc w:val="center"/>
              <w:textAlignment w:val="auto"/>
              <w:rPr>
                <w:rFonts w:hint="default" w:ascii="仿宋_GB2312" w:hAnsi="仿宋_GB2312" w:eastAsia="仿宋_GB2312" w:cs="仿宋_GB2312"/>
                <w:color w:val="000000"/>
                <w:kern w:val="2"/>
                <w:sz w:val="32"/>
                <w:szCs w:val="32"/>
                <w:highlight w:val="none"/>
                <w:vertAlign w:val="baseline"/>
                <w:lang w:val="en-US" w:eastAsia="zh-CN" w:bidi="ar-SA"/>
              </w:rPr>
            </w:pPr>
            <w:r>
              <w:rPr>
                <w:rFonts w:hint="eastAsia" w:ascii="仿宋_GB2312" w:hAnsi="仿宋_GB2312" w:eastAsia="仿宋_GB2312" w:cs="仿宋_GB2312"/>
                <w:color w:val="000000"/>
                <w:kern w:val="2"/>
                <w:sz w:val="32"/>
                <w:szCs w:val="32"/>
                <w:highlight w:val="none"/>
                <w:vertAlign w:val="baseline"/>
                <w:lang w:val="en-US" w:eastAsia="zh-CN"/>
              </w:rPr>
              <w:t>南平市</w:t>
            </w:r>
          </w:p>
        </w:tc>
        <w:tc>
          <w:tcPr>
            <w:tcW w:w="2904" w:type="pct"/>
            <w:vAlign w:val="top"/>
          </w:tcPr>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仿宋_GB2312" w:hAnsi="仿宋_GB2312" w:eastAsia="仿宋_GB2312" w:cs="仿宋_GB2312"/>
                <w:color w:val="000000"/>
                <w:kern w:val="2"/>
                <w:sz w:val="32"/>
                <w:szCs w:val="32"/>
                <w:highlight w:val="none"/>
                <w:vertAlign w:val="baseline"/>
                <w:lang w:val="en-US" w:eastAsia="zh-CN" w:bidi="ar-SA"/>
              </w:rPr>
            </w:pPr>
            <w:r>
              <w:rPr>
                <w:rFonts w:hint="eastAsia" w:ascii="仿宋_GB2312" w:hAnsi="仿宋_GB2312" w:eastAsia="仿宋_GB2312" w:cs="仿宋_GB2312"/>
                <w:color w:val="000000"/>
                <w:kern w:val="2"/>
                <w:sz w:val="32"/>
                <w:szCs w:val="32"/>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95" w:type="pct"/>
            <w:vAlign w:val="top"/>
          </w:tcPr>
          <w:p>
            <w:pPr>
              <w:keepNext w:val="0"/>
              <w:keepLines w:val="0"/>
              <w:pageBreakBefore w:val="0"/>
              <w:widowControl w:val="0"/>
              <w:kinsoku/>
              <w:wordWrap/>
              <w:overflowPunct/>
              <w:topLinePunct w:val="0"/>
              <w:autoSpaceDE/>
              <w:autoSpaceDN/>
              <w:bidi w:val="0"/>
              <w:adjustRightInd/>
              <w:snapToGrid/>
              <w:spacing w:before="0" w:after="0" w:line="560" w:lineRule="exact"/>
              <w:ind w:left="0" w:right="-73" w:rightChars="-33"/>
              <w:jc w:val="center"/>
              <w:textAlignment w:val="auto"/>
              <w:rPr>
                <w:rFonts w:hint="default" w:ascii="仿宋_GB2312" w:hAnsi="仿宋_GB2312" w:eastAsia="仿宋_GB2312" w:cs="仿宋_GB2312"/>
                <w:color w:val="000000"/>
                <w:kern w:val="2"/>
                <w:sz w:val="32"/>
                <w:szCs w:val="32"/>
                <w:highlight w:val="none"/>
                <w:vertAlign w:val="baseline"/>
                <w:lang w:val="en-US" w:eastAsia="zh-CN" w:bidi="ar-SA"/>
              </w:rPr>
            </w:pPr>
            <w:r>
              <w:rPr>
                <w:rFonts w:hint="eastAsia" w:ascii="仿宋_GB2312" w:hAnsi="仿宋_GB2312" w:eastAsia="仿宋_GB2312" w:cs="仿宋_GB2312"/>
                <w:color w:val="000000"/>
                <w:kern w:val="2"/>
                <w:sz w:val="32"/>
                <w:szCs w:val="32"/>
                <w:highlight w:val="none"/>
                <w:vertAlign w:val="baseline"/>
                <w:lang w:val="en-US" w:eastAsia="zh-CN"/>
              </w:rPr>
              <w:t>龙岩市</w:t>
            </w:r>
          </w:p>
        </w:tc>
        <w:tc>
          <w:tcPr>
            <w:tcW w:w="2904" w:type="pct"/>
            <w:vAlign w:val="top"/>
          </w:tcPr>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仿宋_GB2312" w:hAnsi="仿宋_GB2312" w:eastAsia="仿宋_GB2312" w:cs="仿宋_GB2312"/>
                <w:color w:val="000000"/>
                <w:kern w:val="2"/>
                <w:sz w:val="32"/>
                <w:szCs w:val="32"/>
                <w:highlight w:val="none"/>
                <w:vertAlign w:val="baseline"/>
                <w:lang w:val="en-US" w:eastAsia="zh-CN" w:bidi="ar-SA"/>
              </w:rPr>
            </w:pPr>
            <w:r>
              <w:rPr>
                <w:rFonts w:hint="eastAsia" w:ascii="仿宋_GB2312" w:hAnsi="仿宋_GB2312" w:eastAsia="仿宋_GB2312" w:cs="仿宋_GB2312"/>
                <w:color w:val="000000"/>
                <w:kern w:val="2"/>
                <w:sz w:val="32"/>
                <w:szCs w:val="32"/>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95" w:type="pct"/>
          </w:tcPr>
          <w:p>
            <w:pPr>
              <w:keepNext w:val="0"/>
              <w:keepLines w:val="0"/>
              <w:pageBreakBefore w:val="0"/>
              <w:widowControl w:val="0"/>
              <w:kinsoku/>
              <w:wordWrap/>
              <w:overflowPunct/>
              <w:topLinePunct w:val="0"/>
              <w:autoSpaceDE/>
              <w:autoSpaceDN/>
              <w:bidi w:val="0"/>
              <w:adjustRightInd/>
              <w:snapToGrid/>
              <w:spacing w:before="0" w:after="0" w:line="560" w:lineRule="exact"/>
              <w:ind w:left="0" w:right="-73" w:rightChars="-33"/>
              <w:jc w:val="center"/>
              <w:textAlignment w:val="auto"/>
              <w:rPr>
                <w:rFonts w:hint="eastAsia" w:ascii="仿宋_GB2312" w:hAnsi="仿宋_GB2312" w:eastAsia="仿宋_GB2312" w:cs="仿宋_GB2312"/>
                <w:color w:val="000000"/>
                <w:kern w:val="2"/>
                <w:sz w:val="32"/>
                <w:szCs w:val="32"/>
                <w:highlight w:val="none"/>
                <w:vertAlign w:val="baseline"/>
                <w:lang w:val="en-US" w:eastAsia="zh-CN"/>
              </w:rPr>
            </w:pPr>
            <w:r>
              <w:rPr>
                <w:rFonts w:hint="eastAsia" w:ascii="仿宋_GB2312" w:hAnsi="仿宋_GB2312" w:eastAsia="仿宋_GB2312" w:cs="仿宋_GB2312"/>
                <w:color w:val="000000"/>
                <w:kern w:val="2"/>
                <w:sz w:val="32"/>
                <w:szCs w:val="32"/>
                <w:highlight w:val="none"/>
                <w:vertAlign w:val="baseline"/>
                <w:lang w:val="en-US" w:eastAsia="zh-CN"/>
              </w:rPr>
              <w:t>宁德市</w:t>
            </w:r>
          </w:p>
        </w:tc>
        <w:tc>
          <w:tcPr>
            <w:tcW w:w="2904" w:type="pct"/>
          </w:tcPr>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仿宋_GB2312" w:hAnsi="仿宋_GB2312" w:eastAsia="仿宋_GB2312" w:cs="仿宋_GB2312"/>
                <w:color w:val="000000"/>
                <w:kern w:val="2"/>
                <w:sz w:val="32"/>
                <w:szCs w:val="32"/>
                <w:highlight w:val="none"/>
                <w:vertAlign w:val="baseline"/>
                <w:lang w:val="en-US" w:eastAsia="zh-CN"/>
              </w:rPr>
            </w:pPr>
            <w:r>
              <w:rPr>
                <w:rFonts w:hint="eastAsia" w:ascii="仿宋_GB2312" w:hAnsi="仿宋_GB2312" w:eastAsia="仿宋_GB2312" w:cs="仿宋_GB2312"/>
                <w:color w:val="000000"/>
                <w:kern w:val="2"/>
                <w:sz w:val="32"/>
                <w:szCs w:val="32"/>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095" w:type="pct"/>
          </w:tcPr>
          <w:p>
            <w:pPr>
              <w:keepNext w:val="0"/>
              <w:keepLines w:val="0"/>
              <w:pageBreakBefore w:val="0"/>
              <w:widowControl w:val="0"/>
              <w:kinsoku/>
              <w:wordWrap/>
              <w:overflowPunct/>
              <w:topLinePunct w:val="0"/>
              <w:autoSpaceDE/>
              <w:autoSpaceDN/>
              <w:bidi w:val="0"/>
              <w:adjustRightInd/>
              <w:snapToGrid/>
              <w:spacing w:before="0" w:after="0" w:line="560" w:lineRule="exact"/>
              <w:ind w:left="0" w:right="-73" w:rightChars="-33"/>
              <w:jc w:val="center"/>
              <w:textAlignment w:val="auto"/>
              <w:rPr>
                <w:rFonts w:hint="eastAsia" w:ascii="仿宋_GB2312" w:hAnsi="仿宋_GB2312" w:eastAsia="仿宋_GB2312" w:cs="仿宋_GB2312"/>
                <w:color w:val="000000"/>
                <w:kern w:val="2"/>
                <w:sz w:val="32"/>
                <w:szCs w:val="32"/>
                <w:highlight w:val="none"/>
                <w:vertAlign w:val="baseline"/>
                <w:lang w:val="en-US" w:eastAsia="zh-CN"/>
              </w:rPr>
            </w:pPr>
            <w:r>
              <w:rPr>
                <w:rFonts w:hint="eastAsia" w:ascii="仿宋_GB2312" w:hAnsi="仿宋_GB2312" w:eastAsia="仿宋_GB2312" w:cs="仿宋_GB2312"/>
                <w:color w:val="000000"/>
                <w:kern w:val="2"/>
                <w:sz w:val="32"/>
                <w:szCs w:val="32"/>
                <w:highlight w:val="none"/>
                <w:vertAlign w:val="baseline"/>
                <w:lang w:val="en-US" w:eastAsia="zh-CN"/>
              </w:rPr>
              <w:t>平潭综合</w:t>
            </w:r>
            <w:r>
              <w:rPr>
                <w:rFonts w:hint="eastAsia" w:ascii="仿宋" w:hAnsi="仿宋" w:cs="仿宋"/>
                <w:color w:val="000000"/>
                <w:spacing w:val="0"/>
                <w:kern w:val="2"/>
                <w:sz w:val="32"/>
                <w:szCs w:val="32"/>
                <w:highlight w:val="none"/>
                <w:lang w:val="en-US" w:eastAsia="zh-CN"/>
              </w:rPr>
              <w:t>实验区</w:t>
            </w:r>
          </w:p>
        </w:tc>
        <w:tc>
          <w:tcPr>
            <w:tcW w:w="2904" w:type="pct"/>
          </w:tcPr>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仿宋_GB2312" w:hAnsi="仿宋_GB2312" w:eastAsia="仿宋_GB2312" w:cs="仿宋_GB2312"/>
                <w:color w:val="000000"/>
                <w:kern w:val="2"/>
                <w:sz w:val="32"/>
                <w:szCs w:val="32"/>
                <w:highlight w:val="none"/>
                <w:vertAlign w:val="baseline"/>
                <w:lang w:val="en-US" w:eastAsia="zh-CN"/>
              </w:rPr>
            </w:pPr>
            <w:r>
              <w:rPr>
                <w:rFonts w:hint="eastAsia" w:ascii="仿宋_GB2312" w:hAnsi="仿宋_GB2312" w:eastAsia="仿宋_GB2312" w:cs="仿宋_GB2312"/>
                <w:color w:val="000000"/>
                <w:kern w:val="2"/>
                <w:sz w:val="32"/>
                <w:szCs w:val="32"/>
                <w:highlight w:val="none"/>
                <w:vertAlign w:val="baseline"/>
                <w:lang w:val="en-US" w:eastAsia="zh-CN"/>
              </w:rPr>
              <w:t>是</w:t>
            </w:r>
          </w:p>
        </w:tc>
      </w:tr>
    </w:tbl>
    <w:p>
      <w:pPr>
        <w:pStyle w:val="21"/>
        <w:ind w:right="508" w:rightChars="231"/>
        <w:rPr>
          <w:rFonts w:hint="eastAsia"/>
          <w:highlight w:val="none"/>
          <w:lang w:val="en-US" w:eastAsia="zh-CN"/>
        </w:rPr>
      </w:pPr>
    </w:p>
    <w:p>
      <w:pPr>
        <w:pStyle w:val="2"/>
        <w:tabs>
          <w:tab w:val="left" w:pos="2200"/>
        </w:tabs>
        <w:spacing w:before="56"/>
        <w:ind w:left="0" w:right="508" w:rightChars="231"/>
        <w:jc w:val="center"/>
        <w:outlineLvl w:val="9"/>
        <w:rPr>
          <w:rFonts w:hint="eastAsia" w:ascii="方正小标宋简体" w:hAnsi="方正小标宋简体" w:eastAsia="方正小标宋简体" w:cs="方正小标宋简体"/>
          <w:highlight w:val="none"/>
        </w:rPr>
        <w:sectPr>
          <w:footerReference r:id="rId9" w:type="default"/>
          <w:pgSz w:w="11910" w:h="16840"/>
          <w:pgMar w:top="1580" w:right="520" w:bottom="1460" w:left="1200" w:header="1145" w:footer="1276"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right="0" w:rightChars="0" w:firstLine="0" w:firstLineChars="0"/>
        <w:jc w:val="both"/>
        <w:textAlignment w:val="baseline"/>
        <w:rPr>
          <w:rFonts w:hint="eastAsia" w:ascii="黑体" w:hAnsi="黑体" w:eastAsia="黑体" w:cs="黑体"/>
          <w:snapToGrid w:val="0"/>
          <w:color w:val="auto"/>
          <w:kern w:val="0"/>
          <w:sz w:val="32"/>
          <w:szCs w:val="32"/>
          <w:highlight w:val="none"/>
          <w:lang w:val="en-US" w:eastAsia="zh-CN"/>
        </w:rPr>
      </w:pPr>
      <w:bookmarkStart w:id="202" w:name="授权书"/>
      <w:bookmarkEnd w:id="202"/>
      <w:bookmarkStart w:id="203" w:name="_Toc1669043747"/>
      <w:bookmarkStart w:id="204" w:name="_Toc1472653750"/>
      <w:bookmarkStart w:id="205" w:name="_Toc293000555"/>
      <w:r>
        <w:rPr>
          <w:rFonts w:hint="eastAsia" w:ascii="黑体" w:hAnsi="黑体" w:eastAsia="黑体" w:cs="黑体"/>
          <w:snapToGrid w:val="0"/>
          <w:color w:val="auto"/>
          <w:kern w:val="0"/>
          <w:sz w:val="32"/>
          <w:szCs w:val="32"/>
          <w:highlight w:val="none"/>
          <w:lang w:val="en-US" w:eastAsia="zh-CN"/>
        </w:rPr>
        <w:t>附件2</w:t>
      </w:r>
      <w:bookmarkEnd w:id="203"/>
      <w:bookmarkEnd w:id="204"/>
      <w:bookmarkEnd w:id="205"/>
    </w:p>
    <w:p>
      <w:pPr>
        <w:pStyle w:val="8"/>
        <w:keepNext w:val="0"/>
        <w:keepLines w:val="0"/>
        <w:pageBreakBefore w:val="0"/>
        <w:widowControl w:val="0"/>
        <w:kinsoku/>
        <w:wordWrap/>
        <w:overflowPunct/>
        <w:topLinePunct w:val="0"/>
        <w:bidi w:val="0"/>
        <w:spacing w:before="0" w:line="580" w:lineRule="exact"/>
        <w:ind w:left="0" w:right="0" w:rightChars="0" w:firstLine="0" w:firstLineChars="0"/>
        <w:jc w:val="center"/>
        <w:rPr>
          <w:rFonts w:hint="eastAsia" w:ascii="黑体" w:hAnsi="黑体" w:eastAsia="黑体" w:cs="黑体"/>
          <w:sz w:val="32"/>
          <w:szCs w:val="32"/>
          <w:highlight w:val="none"/>
        </w:rPr>
      </w:pPr>
    </w:p>
    <w:p>
      <w:pPr>
        <w:pStyle w:val="8"/>
        <w:keepNext w:val="0"/>
        <w:keepLines w:val="0"/>
        <w:pageBreakBefore w:val="0"/>
        <w:widowControl w:val="0"/>
        <w:kinsoku/>
        <w:wordWrap/>
        <w:overflowPunct/>
        <w:topLinePunct w:val="0"/>
        <w:bidi w:val="0"/>
        <w:spacing w:before="0" w:line="580" w:lineRule="exact"/>
        <w:ind w:left="0" w:right="0" w:rightChars="0" w:firstLine="0" w:firstLineChars="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授权书</w:t>
      </w:r>
    </w:p>
    <w:p>
      <w:pPr>
        <w:pStyle w:val="8"/>
        <w:keepNext w:val="0"/>
        <w:keepLines w:val="0"/>
        <w:pageBreakBefore w:val="0"/>
        <w:widowControl w:val="0"/>
        <w:kinsoku/>
        <w:wordWrap/>
        <w:overflowPunct/>
        <w:topLinePunct w:val="0"/>
        <w:bidi w:val="0"/>
        <w:spacing w:before="0" w:line="580" w:lineRule="exact"/>
        <w:ind w:left="0" w:right="0" w:rightChars="0" w:firstLine="0" w:firstLineChars="0"/>
        <w:jc w:val="center"/>
        <w:rPr>
          <w:rFonts w:hint="eastAsia" w:ascii="方正小标宋简体" w:hAnsi="方正小标宋简体" w:eastAsia="方正小标宋简体" w:cs="方正小标宋简体"/>
          <w:sz w:val="44"/>
          <w:szCs w:val="44"/>
          <w:highlight w:val="none"/>
        </w:rPr>
      </w:pPr>
    </w:p>
    <w:p>
      <w:pPr>
        <w:pStyle w:val="8"/>
        <w:keepNext w:val="0"/>
        <w:keepLines w:val="0"/>
        <w:pageBreakBefore w:val="0"/>
        <w:widowControl w:val="0"/>
        <w:kinsoku/>
        <w:wordWrap/>
        <w:overflowPunct/>
        <w:topLinePunct w:val="0"/>
        <w:autoSpaceDE w:val="0"/>
        <w:autoSpaceDN w:val="0"/>
        <w:bidi w:val="0"/>
        <w:snapToGrid/>
        <w:spacing w:before="0" w:line="580" w:lineRule="exact"/>
        <w:ind w:right="0" w:rightChars="0"/>
        <w:textAlignment w:val="auto"/>
        <w:rPr>
          <w:rFonts w:hint="eastAsia" w:ascii="仿宋_GB2312" w:hAnsi="仿宋_GB2312" w:eastAsia="仿宋_GB2312" w:cs="仿宋_GB2312"/>
          <w:spacing w:val="-11"/>
          <w:sz w:val="32"/>
          <w:szCs w:val="32"/>
          <w:highlight w:val="none"/>
        </w:rPr>
      </w:pPr>
      <w:r>
        <w:rPr>
          <w:rFonts w:hint="eastAsia" w:ascii="仿宋_GB2312" w:hAnsi="仿宋_GB2312" w:eastAsia="仿宋_GB2312" w:cs="仿宋_GB2312"/>
          <w:spacing w:val="-11"/>
          <w:sz w:val="32"/>
          <w:szCs w:val="32"/>
          <w:highlight w:val="none"/>
          <w:lang w:val="en-US" w:eastAsia="zh-CN" w:bidi="ar-SA"/>
        </w:rPr>
        <w:t>一次性使用阴道扩张器全省性联盟集采领导小组办公室</w:t>
      </w:r>
      <w:r>
        <w:rPr>
          <w:rFonts w:hint="eastAsia" w:ascii="仿宋_GB2312" w:hAnsi="仿宋_GB2312" w:eastAsia="仿宋_GB2312" w:cs="仿宋_GB2312"/>
          <w:spacing w:val="-11"/>
          <w:sz w:val="32"/>
          <w:szCs w:val="32"/>
          <w:highlight w:val="none"/>
        </w:rPr>
        <w:t>：</w:t>
      </w:r>
    </w:p>
    <w:p>
      <w:pPr>
        <w:pStyle w:val="8"/>
        <w:keepNext w:val="0"/>
        <w:keepLines w:val="0"/>
        <w:pageBreakBefore w:val="0"/>
        <w:widowControl w:val="0"/>
        <w:kinsoku/>
        <w:wordWrap/>
        <w:overflowPunct/>
        <w:topLinePunct w:val="0"/>
        <w:bidi w:val="0"/>
        <w:adjustRightInd/>
        <w:snapToGrid/>
        <w:spacing w:before="0" w:line="580" w:lineRule="exact"/>
        <w:ind w:left="0" w:right="0" w:rightChars="0" w:firstLine="596" w:firstLineChars="200"/>
        <w:textAlignment w:val="auto"/>
        <w:rPr>
          <w:rFonts w:hint="eastAsia" w:ascii="仿宋_GB2312" w:hAnsi="仿宋_GB2312" w:eastAsia="仿宋_GB2312" w:cs="仿宋_GB2312"/>
          <w:spacing w:val="-5"/>
          <w:highlight w:val="none"/>
        </w:rPr>
      </w:pPr>
      <w:r>
        <w:rPr>
          <w:rFonts w:hint="eastAsia" w:ascii="仿宋_GB2312" w:hAnsi="仿宋_GB2312" w:eastAsia="仿宋_GB2312" w:cs="仿宋_GB2312"/>
          <w:spacing w:val="-11"/>
          <w:sz w:val="32"/>
          <w:highlight w:val="none"/>
        </w:rPr>
        <w:t>本</w:t>
      </w:r>
      <w:r>
        <w:rPr>
          <w:rFonts w:hint="eastAsia" w:ascii="仿宋_GB2312" w:hAnsi="仿宋_GB2312" w:eastAsia="仿宋_GB2312" w:cs="仿宋_GB2312"/>
          <w:spacing w:val="-5"/>
          <w:highlight w:val="none"/>
        </w:rPr>
        <w:t>公司申请参</w:t>
      </w:r>
      <w:r>
        <w:rPr>
          <w:rFonts w:hint="eastAsia" w:ascii="仿宋_GB2312" w:hAnsi="仿宋_GB2312" w:eastAsia="仿宋_GB2312" w:cs="仿宋_GB2312"/>
          <w:spacing w:val="-5"/>
          <w:highlight w:val="none"/>
          <w:lang w:val="en-US" w:eastAsia="zh-CN"/>
        </w:rPr>
        <w:t>与</w:t>
      </w:r>
      <w:r>
        <w:rPr>
          <w:rFonts w:hint="eastAsia" w:ascii="仿宋_GB2312" w:hAnsi="仿宋_GB2312" w:eastAsia="仿宋_GB2312" w:cs="仿宋_GB2312"/>
          <w:spacing w:val="-5"/>
          <w:highlight w:val="none"/>
          <w:u w:val="single"/>
          <w:lang w:val="en-US" w:eastAsia="zh-CN"/>
        </w:rPr>
        <w:t>一次性使用阴道扩张器全省性联盟集中带量</w:t>
      </w:r>
      <w:r>
        <w:rPr>
          <w:rFonts w:hint="eastAsia" w:ascii="仿宋_GB2312" w:hAnsi="仿宋_GB2312" w:eastAsia="仿宋_GB2312" w:cs="仿宋_GB2312"/>
          <w:spacing w:val="-5"/>
          <w:highlight w:val="none"/>
          <w:u w:val="single"/>
        </w:rPr>
        <w:t>采购</w:t>
      </w:r>
      <w:r>
        <w:rPr>
          <w:rFonts w:hint="eastAsia" w:ascii="仿宋_GB2312" w:hAnsi="仿宋_GB2312" w:eastAsia="仿宋_GB2312" w:cs="仿宋_GB2312"/>
          <w:spacing w:val="-5"/>
          <w:highlight w:val="none"/>
        </w:rPr>
        <w:t>工作，遵守医用耗材采购的相关规定，所提交材料的信息真实有效，如有虚假</w:t>
      </w:r>
      <w:r>
        <w:rPr>
          <w:rFonts w:hint="eastAsia" w:ascii="仿宋_GB2312" w:hAnsi="仿宋_GB2312" w:eastAsia="仿宋_GB2312" w:cs="仿宋_GB2312"/>
          <w:spacing w:val="-5"/>
          <w:highlight w:val="none"/>
          <w:lang w:val="en-US" w:eastAsia="zh-CN"/>
        </w:rPr>
        <w:t>，自</w:t>
      </w:r>
      <w:r>
        <w:rPr>
          <w:rFonts w:hint="eastAsia" w:ascii="仿宋_GB2312" w:hAnsi="仿宋_GB2312" w:eastAsia="仿宋_GB2312" w:cs="仿宋_GB2312"/>
          <w:spacing w:val="-5"/>
          <w:highlight w:val="none"/>
        </w:rPr>
        <w:t>愿承担相应的法律责任。</w:t>
      </w:r>
    </w:p>
    <w:p>
      <w:pPr>
        <w:pStyle w:val="8"/>
        <w:keepNext w:val="0"/>
        <w:keepLines w:val="0"/>
        <w:pageBreakBefore w:val="0"/>
        <w:widowControl w:val="0"/>
        <w:kinsoku/>
        <w:wordWrap/>
        <w:overflowPunct/>
        <w:topLinePunct w:val="0"/>
        <w:bidi w:val="0"/>
        <w:adjustRightInd/>
        <w:snapToGrid/>
        <w:spacing w:before="0" w:line="580" w:lineRule="exact"/>
        <w:ind w:left="0" w:right="0" w:rightChars="0" w:firstLine="620" w:firstLineChars="200"/>
        <w:textAlignment w:val="auto"/>
        <w:rPr>
          <w:rFonts w:hint="eastAsia" w:ascii="仿宋_GB2312" w:hAnsi="仿宋_GB2312" w:eastAsia="仿宋_GB2312" w:cs="仿宋_GB2312"/>
          <w:spacing w:val="-5"/>
          <w:highlight w:val="none"/>
        </w:rPr>
      </w:pPr>
      <w:r>
        <w:rPr>
          <w:rFonts w:hint="eastAsia" w:ascii="仿宋_GB2312" w:hAnsi="仿宋_GB2312" w:eastAsia="仿宋_GB2312" w:cs="仿宋_GB2312"/>
          <w:spacing w:val="-5"/>
          <w:highlight w:val="none"/>
        </w:rPr>
        <w:t>本公司委托授权员工</w:t>
      </w:r>
      <w:r>
        <w:rPr>
          <w:rFonts w:hint="eastAsia" w:ascii="仿宋_GB2312" w:hAnsi="仿宋_GB2312" w:eastAsia="仿宋_GB2312" w:cs="仿宋_GB2312"/>
          <w:spacing w:val="-5"/>
          <w:highlight w:val="none"/>
          <w:u w:val="single"/>
          <w:lang w:eastAsia="zh-CN"/>
        </w:rPr>
        <w:t xml:space="preserve"> </w:t>
      </w:r>
      <w:r>
        <w:rPr>
          <w:rFonts w:hint="eastAsia" w:ascii="仿宋_GB2312" w:hAnsi="仿宋_GB2312" w:eastAsia="仿宋_GB2312" w:cs="仿宋_GB2312"/>
          <w:spacing w:val="-5"/>
          <w:highlight w:val="none"/>
          <w:u w:val="single"/>
          <w:lang w:val="en-US" w:eastAsia="zh-CN"/>
        </w:rPr>
        <w:t xml:space="preserve">             </w:t>
      </w:r>
      <w:r>
        <w:rPr>
          <w:rFonts w:hint="eastAsia" w:ascii="仿宋_GB2312" w:hAnsi="仿宋_GB2312" w:eastAsia="仿宋_GB2312" w:cs="仿宋_GB2312"/>
          <w:spacing w:val="-5"/>
          <w:w w:val="100"/>
          <w:highlight w:val="none"/>
        </w:rPr>
        <w:t>（身份证号：</w:t>
      </w:r>
      <w:r>
        <w:rPr>
          <w:rFonts w:hint="eastAsia" w:ascii="仿宋_GB2312" w:hAnsi="仿宋_GB2312" w:eastAsia="仿宋_GB2312" w:cs="仿宋_GB2312"/>
          <w:spacing w:val="-5"/>
          <w:w w:val="100"/>
          <w:highlight w:val="none"/>
          <w:u w:val="single"/>
          <w:lang w:val="en-US" w:eastAsia="zh-CN"/>
        </w:rPr>
        <w:t xml:space="preserve">              </w:t>
      </w:r>
      <w:r>
        <w:rPr>
          <w:rFonts w:hint="eastAsia" w:ascii="仿宋_GB2312" w:hAnsi="仿宋_GB2312" w:eastAsia="仿宋_GB2312" w:cs="仿宋_GB2312"/>
          <w:spacing w:val="-5"/>
          <w:highlight w:val="none"/>
        </w:rPr>
        <w:t>联系电话：</w:t>
      </w:r>
      <w:r>
        <w:rPr>
          <w:rFonts w:hint="eastAsia" w:ascii="仿宋_GB2312" w:hAnsi="仿宋_GB2312" w:eastAsia="仿宋_GB2312" w:cs="仿宋_GB2312"/>
          <w:spacing w:val="-5"/>
          <w:highlight w:val="none"/>
          <w:u w:val="single"/>
          <w:lang w:eastAsia="zh-CN"/>
        </w:rPr>
        <w:t xml:space="preserve"> </w:t>
      </w:r>
      <w:r>
        <w:rPr>
          <w:rFonts w:hint="eastAsia" w:ascii="仿宋_GB2312" w:hAnsi="仿宋_GB2312" w:eastAsia="仿宋_GB2312" w:cs="仿宋_GB2312"/>
          <w:spacing w:val="-5"/>
          <w:highlight w:val="none"/>
          <w:u w:val="single"/>
          <w:lang w:val="en-US" w:eastAsia="zh-CN"/>
        </w:rPr>
        <w:t xml:space="preserve">        </w:t>
      </w:r>
      <w:r>
        <w:rPr>
          <w:rFonts w:hint="eastAsia" w:ascii="仿宋_GB2312" w:hAnsi="仿宋_GB2312" w:eastAsia="仿宋_GB2312" w:cs="仿宋_GB2312"/>
          <w:spacing w:val="-5"/>
          <w:highlight w:val="none"/>
        </w:rPr>
        <w:t>）作为本公司授权代表，以本公司名义全权处理</w:t>
      </w:r>
      <w:r>
        <w:rPr>
          <w:rFonts w:hint="eastAsia" w:ascii="仿宋_GB2312" w:hAnsi="仿宋_GB2312" w:eastAsia="仿宋_GB2312" w:cs="仿宋_GB2312"/>
          <w:spacing w:val="-5"/>
          <w:w w:val="100"/>
          <w:highlight w:val="none"/>
        </w:rPr>
        <w:t>包括企业报名、材料申报、报价、申投诉处理等一切有关事务。本企业</w:t>
      </w:r>
      <w:r>
        <w:rPr>
          <w:rFonts w:hint="eastAsia" w:ascii="仿宋_GB2312" w:hAnsi="仿宋_GB2312" w:eastAsia="仿宋_GB2312" w:cs="仿宋_GB2312"/>
          <w:spacing w:val="-5"/>
          <w:highlight w:val="none"/>
        </w:rPr>
        <w:t>认可，被授权人的签字与本企业公章具有相同的法律效力。</w:t>
      </w:r>
    </w:p>
    <w:p>
      <w:pPr>
        <w:pStyle w:val="8"/>
        <w:keepNext w:val="0"/>
        <w:keepLines w:val="0"/>
        <w:pageBreakBefore w:val="0"/>
        <w:widowControl w:val="0"/>
        <w:kinsoku/>
        <w:wordWrap/>
        <w:overflowPunct/>
        <w:topLinePunct w:val="0"/>
        <w:bidi w:val="0"/>
        <w:spacing w:before="0" w:line="580" w:lineRule="exact"/>
        <w:ind w:left="0" w:right="0" w:rightChars="0" w:firstLine="640" w:firstLineChars="200"/>
        <w:rPr>
          <w:rFonts w:hint="eastAsia" w:ascii="仿宋_GB2312" w:hAnsi="仿宋_GB2312" w:eastAsia="仿宋_GB2312" w:cs="仿宋_GB2312"/>
          <w:sz w:val="32"/>
          <w:highlight w:val="none"/>
        </w:rPr>
      </w:pPr>
    </w:p>
    <w:p>
      <w:pPr>
        <w:pStyle w:val="8"/>
        <w:keepNext w:val="0"/>
        <w:keepLines w:val="0"/>
        <w:pageBreakBefore w:val="0"/>
        <w:widowControl w:val="0"/>
        <w:kinsoku/>
        <w:wordWrap/>
        <w:overflowPunct/>
        <w:topLinePunct w:val="0"/>
        <w:bidi w:val="0"/>
        <w:spacing w:before="0" w:line="580" w:lineRule="exact"/>
        <w:ind w:left="0" w:right="0" w:rightChars="0" w:firstLine="640" w:firstLineChars="200"/>
        <w:rPr>
          <w:rFonts w:hint="eastAsia" w:ascii="仿宋_GB2312" w:hAnsi="仿宋_GB2312" w:eastAsia="仿宋_GB2312" w:cs="仿宋_GB2312"/>
          <w:sz w:val="32"/>
          <w:highlight w:val="none"/>
        </w:rPr>
      </w:pPr>
    </w:p>
    <w:p>
      <w:pPr>
        <w:pStyle w:val="8"/>
        <w:keepNext w:val="0"/>
        <w:keepLines w:val="0"/>
        <w:pageBreakBefore w:val="0"/>
        <w:widowControl w:val="0"/>
        <w:kinsoku/>
        <w:wordWrap/>
        <w:overflowPunct/>
        <w:topLinePunct w:val="0"/>
        <w:bidi w:val="0"/>
        <w:spacing w:before="0" w:line="580" w:lineRule="exact"/>
        <w:ind w:left="0" w:right="0" w:rightChars="0"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法定代表人（签字或盖章）：</w:t>
      </w:r>
    </w:p>
    <w:p>
      <w:pPr>
        <w:pStyle w:val="8"/>
        <w:keepNext w:val="0"/>
        <w:keepLines w:val="0"/>
        <w:pageBreakBefore w:val="0"/>
        <w:widowControl w:val="0"/>
        <w:kinsoku/>
        <w:wordWrap/>
        <w:overflowPunct/>
        <w:topLinePunct w:val="0"/>
        <w:bidi w:val="0"/>
        <w:spacing w:before="0" w:line="580" w:lineRule="exact"/>
        <w:ind w:left="0" w:right="0" w:rightChars="0"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法定代表人身份证号：</w:t>
      </w:r>
    </w:p>
    <w:p>
      <w:pPr>
        <w:pStyle w:val="8"/>
        <w:keepNext w:val="0"/>
        <w:keepLines w:val="0"/>
        <w:pageBreakBefore w:val="0"/>
        <w:widowControl w:val="0"/>
        <w:kinsoku/>
        <w:wordWrap/>
        <w:overflowPunct/>
        <w:topLinePunct w:val="0"/>
        <w:bidi w:val="0"/>
        <w:spacing w:before="0" w:line="580" w:lineRule="exact"/>
        <w:ind w:left="0" w:right="0" w:rightChars="0"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法定代表人联系电话：</w:t>
      </w:r>
    </w:p>
    <w:p>
      <w:pPr>
        <w:pStyle w:val="8"/>
        <w:keepNext w:val="0"/>
        <w:keepLines w:val="0"/>
        <w:pageBreakBefore w:val="0"/>
        <w:widowControl w:val="0"/>
        <w:kinsoku/>
        <w:wordWrap/>
        <w:overflowPunct/>
        <w:topLinePunct w:val="0"/>
        <w:bidi w:val="0"/>
        <w:spacing w:before="0" w:after="0" w:line="580" w:lineRule="exact"/>
        <w:ind w:left="0" w:right="0" w:rightChars="0"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申报企业（全称并加盖公章）：</w:t>
      </w:r>
    </w:p>
    <w:p>
      <w:pPr>
        <w:keepNext w:val="0"/>
        <w:keepLines w:val="0"/>
        <w:pageBreakBefore w:val="0"/>
        <w:widowControl w:val="0"/>
        <w:kinsoku/>
        <w:wordWrap/>
        <w:overflowPunct/>
        <w:topLinePunct w:val="0"/>
        <w:bidi w:val="0"/>
        <w:spacing w:before="0" w:line="580" w:lineRule="exact"/>
        <w:ind w:left="0" w:right="0" w:rightChars="0" w:firstLine="640" w:firstLineChars="200"/>
        <w:jc w:val="both"/>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日     期：</w:t>
      </w:r>
    </w:p>
    <w:p>
      <w:pPr>
        <w:keepNext w:val="0"/>
        <w:keepLines w:val="0"/>
        <w:pageBreakBefore w:val="0"/>
        <w:widowControl w:val="0"/>
        <w:kinsoku/>
        <w:wordWrap/>
        <w:overflowPunct/>
        <w:topLinePunct w:val="0"/>
        <w:bidi w:val="0"/>
        <w:spacing w:before="0" w:line="580" w:lineRule="exact"/>
        <w:ind w:left="0" w:right="0" w:rightChars="0" w:firstLine="640" w:firstLineChars="200"/>
        <w:jc w:val="both"/>
        <w:rPr>
          <w:rFonts w:hint="eastAsia" w:ascii="仿宋_GB2312" w:hAnsi="仿宋_GB2312" w:eastAsia="仿宋_GB2312" w:cs="仿宋_GB2312"/>
          <w:sz w:val="32"/>
          <w:szCs w:val="32"/>
          <w:highlight w:val="none"/>
          <w:lang w:val="en-US" w:eastAsia="zh-CN" w:bidi="ar-SA"/>
        </w:rPr>
      </w:pPr>
    </w:p>
    <w:p>
      <w:pPr>
        <w:spacing w:before="58"/>
        <w:ind w:left="0" w:right="508" w:rightChars="231" w:firstLine="0"/>
        <w:jc w:val="center"/>
        <w:rPr>
          <w:rFonts w:hint="eastAsia" w:ascii="仿宋_GB2312" w:hAnsi="仿宋_GB2312" w:eastAsia="仿宋_GB2312" w:cs="仿宋_GB2312"/>
          <w:b/>
          <w:sz w:val="30"/>
          <w:highlight w:val="none"/>
          <w:lang w:val="en-US" w:eastAsia="zh-CN"/>
        </w:rPr>
      </w:pPr>
    </w:p>
    <w:p>
      <w:pPr>
        <w:spacing w:before="58"/>
        <w:ind w:left="0" w:right="508" w:rightChars="231" w:firstLine="0"/>
        <w:jc w:val="center"/>
        <w:outlineLvl w:val="9"/>
        <w:rPr>
          <w:rFonts w:hint="eastAsia" w:ascii="仿宋_GB2312" w:hAnsi="仿宋_GB2312" w:eastAsia="仿宋_GB2312" w:cs="仿宋_GB2312"/>
          <w:b/>
          <w:sz w:val="30"/>
          <w:highlight w:val="none"/>
        </w:rPr>
      </w:pPr>
      <w:bookmarkStart w:id="206" w:name="_Toc1878282504"/>
      <w:r>
        <w:rPr>
          <w:rFonts w:hint="eastAsia" w:ascii="仿宋_GB2312" w:hAnsi="仿宋_GB2312" w:eastAsia="仿宋_GB2312" w:cs="仿宋_GB2312"/>
          <w:b/>
          <w:sz w:val="30"/>
          <w:highlight w:val="none"/>
          <w:lang w:val="en-US" w:eastAsia="zh-CN"/>
        </w:rPr>
        <w:t>法定代表人及</w:t>
      </w:r>
      <w:r>
        <w:rPr>
          <w:rFonts w:hint="eastAsia" w:ascii="仿宋_GB2312" w:hAnsi="仿宋_GB2312" w:eastAsia="仿宋_GB2312" w:cs="仿宋_GB2312"/>
          <w:b/>
          <w:sz w:val="30"/>
          <w:highlight w:val="none"/>
        </w:rPr>
        <w:t>代理人（被授权人）居民身份证复印件</w:t>
      </w:r>
      <w:bookmarkEnd w:id="206"/>
    </w:p>
    <w:p>
      <w:pPr>
        <w:spacing w:before="178"/>
        <w:ind w:left="0" w:right="508" w:rightChars="231" w:firstLine="0"/>
        <w:jc w:val="center"/>
        <w:rPr>
          <w:rFonts w:hint="eastAsia" w:ascii="仿宋_GB2312" w:hAnsi="仿宋_GB2312" w:eastAsia="仿宋_GB2312" w:cs="仿宋_GB2312"/>
          <w:b/>
          <w:sz w:val="30"/>
          <w:highlight w:val="none"/>
        </w:rPr>
      </w:pPr>
      <w:r>
        <w:rPr>
          <w:color w:val="000000"/>
          <w:highlight w:val="none"/>
        </w:rPr>
        <mc:AlternateContent>
          <mc:Choice Requires="wps">
            <w:drawing>
              <wp:anchor distT="0" distB="0" distL="114300" distR="114300" simplePos="0" relativeHeight="251676672" behindDoc="1" locked="0" layoutInCell="1" allowOverlap="1">
                <wp:simplePos x="0" y="0"/>
                <wp:positionH relativeFrom="page">
                  <wp:posOffset>3845560</wp:posOffset>
                </wp:positionH>
                <wp:positionV relativeFrom="paragraph">
                  <wp:posOffset>4036060</wp:posOffset>
                </wp:positionV>
                <wp:extent cx="2829560" cy="1609090"/>
                <wp:effectExtent l="4445" t="4445" r="23495" b="5715"/>
                <wp:wrapTopAndBottom/>
                <wp:docPr id="20" name="文本框 107"/>
                <wp:cNvGraphicFramePr/>
                <a:graphic xmlns:a="http://schemas.openxmlformats.org/drawingml/2006/main">
                  <a:graphicData uri="http://schemas.microsoft.com/office/word/2010/wordprocessingShape">
                    <wps:wsp>
                      <wps:cNvSpPr txBox="1"/>
                      <wps:spPr>
                        <a:xfrm>
                          <a:off x="0" y="0"/>
                          <a:ext cx="2829560" cy="160909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before="137" w:after="0" w:line="560" w:lineRule="exact"/>
                              <w:ind w:left="675" w:right="672" w:firstLine="280"/>
                              <w:textAlignment w:val="auto"/>
                              <w:rPr>
                                <w:rFonts w:hint="eastAsia" w:ascii="仿宋_GB2312" w:hAnsi="仿宋_GB2312" w:eastAsia="仿宋_GB2312" w:cs="仿宋_GB2312"/>
                                <w:b/>
                                <w:sz w:val="28"/>
                                <w:lang w:eastAsia="zh-CN"/>
                              </w:rPr>
                            </w:pPr>
                            <w:r>
                              <w:rPr>
                                <w:rFonts w:hint="eastAsia" w:ascii="仿宋_GB2312" w:hAnsi="仿宋_GB2312" w:eastAsia="仿宋_GB2312" w:cs="仿宋_GB2312"/>
                                <w:b/>
                                <w:sz w:val="28"/>
                                <w:lang w:eastAsia="zh-CN"/>
                              </w:rPr>
                              <w:t>代理人（被授权人）</w:t>
                            </w:r>
                          </w:p>
                          <w:p>
                            <w:pPr>
                              <w:keepNext w:val="0"/>
                              <w:keepLines w:val="0"/>
                              <w:pageBreakBefore w:val="0"/>
                              <w:widowControl/>
                              <w:kinsoku/>
                              <w:wordWrap/>
                              <w:overflowPunct/>
                              <w:topLinePunct w:val="0"/>
                              <w:autoSpaceDE/>
                              <w:autoSpaceDN/>
                              <w:bidi w:val="0"/>
                              <w:adjustRightInd/>
                              <w:snapToGrid/>
                              <w:spacing w:before="137" w:after="0" w:line="560" w:lineRule="exact"/>
                              <w:ind w:right="45"/>
                              <w:jc w:val="center"/>
                              <w:textAlignment w:val="auto"/>
                              <w:rPr>
                                <w:rFonts w:hint="eastAsia" w:ascii="仿宋_GB2312" w:hAnsi="仿宋_GB2312" w:eastAsia="仿宋_GB2312" w:cs="仿宋_GB2312"/>
                                <w:b/>
                                <w:sz w:val="28"/>
                                <w:lang w:eastAsia="zh-CN"/>
                              </w:rPr>
                            </w:pPr>
                            <w:r>
                              <w:rPr>
                                <w:rFonts w:hint="eastAsia" w:ascii="仿宋_GB2312" w:hAnsi="仿宋_GB2312" w:eastAsia="仿宋_GB2312" w:cs="仿宋_GB2312"/>
                                <w:b/>
                                <w:spacing w:val="-2"/>
                                <w:sz w:val="28"/>
                                <w:lang w:eastAsia="zh-CN"/>
                              </w:rPr>
                              <w:t>居民身份证反面复印件粘贴处</w:t>
                            </w:r>
                          </w:p>
                          <w:p>
                            <w:pPr>
                              <w:keepNext w:val="0"/>
                              <w:keepLines w:val="0"/>
                              <w:pageBreakBefore w:val="0"/>
                              <w:widowControl/>
                              <w:kinsoku/>
                              <w:wordWrap/>
                              <w:overflowPunct/>
                              <w:topLinePunct w:val="0"/>
                              <w:autoSpaceDE/>
                              <w:autoSpaceDN/>
                              <w:bidi w:val="0"/>
                              <w:adjustRightInd/>
                              <w:snapToGrid/>
                              <w:spacing w:before="89" w:after="0" w:line="560" w:lineRule="exact"/>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w:t>
                            </w:r>
                            <w:r>
                              <w:rPr>
                                <w:rFonts w:hint="eastAsia" w:ascii="仿宋_GB2312" w:hAnsi="仿宋_GB2312" w:eastAsia="仿宋_GB2312" w:cs="仿宋_GB2312"/>
                                <w:spacing w:val="-3"/>
                                <w:sz w:val="28"/>
                              </w:rPr>
                              <w:t>加盖单位公章</w:t>
                            </w:r>
                            <w:r>
                              <w:rPr>
                                <w:rFonts w:hint="eastAsia" w:ascii="仿宋_GB2312" w:hAnsi="仿宋_GB2312" w:eastAsia="仿宋_GB2312" w:cs="仿宋_GB2312"/>
                                <w:sz w:val="28"/>
                              </w:rPr>
                              <w:t>）</w:t>
                            </w:r>
                          </w:p>
                        </w:txbxContent>
                      </wps:txbx>
                      <wps:bodyPr lIns="0" tIns="0" rIns="0" bIns="0" upright="1"/>
                    </wps:wsp>
                  </a:graphicData>
                </a:graphic>
              </wp:anchor>
            </w:drawing>
          </mc:Choice>
          <mc:Fallback>
            <w:pict>
              <v:shape id="文本框 107" o:spid="_x0000_s1026" o:spt="202" type="#_x0000_t202" style="position:absolute;left:0pt;margin-left:302.8pt;margin-top:317.8pt;height:126.7pt;width:222.8pt;mso-position-horizontal-relative:page;mso-wrap-distance-bottom:0pt;mso-wrap-distance-top:0pt;z-index:-251639808;mso-width-relative:page;mso-height-relative:page;" filled="f" stroked="t" coordsize="21600,21600" o:gfxdata="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mNv+raAAAADAEAAA8AAAAAAAAAAQAgAAAAOAAAAGRycy9kb3ducmV2LnhtbFBLAQIU&#10;ABQAAAAIAIdO4kDM6+2YFAIAADUEAAAOAAAAAAAAAAEAIAAAAD8BAABkcnMvZTJvRG9jLnhtbFBL&#10;BQYAAAAABgAGAFkBAADFBQAAAAA=&#10;">
                <v:fill on="f" focussize="0,0"/>
                <v:stroke color="#000000" joinstyle="miter"/>
                <v:imagedata o:title=""/>
                <o:lock v:ext="edit" aspectratio="f"/>
                <v:textbox inset="0mm,0mm,0mm,0mm">
                  <w:txbxContent>
                    <w:p>
                      <w:pPr>
                        <w:keepNext w:val="0"/>
                        <w:keepLines w:val="0"/>
                        <w:pageBreakBefore w:val="0"/>
                        <w:widowControl/>
                        <w:kinsoku/>
                        <w:wordWrap/>
                        <w:overflowPunct/>
                        <w:topLinePunct w:val="0"/>
                        <w:autoSpaceDE/>
                        <w:autoSpaceDN/>
                        <w:bidi w:val="0"/>
                        <w:adjustRightInd/>
                        <w:snapToGrid/>
                        <w:spacing w:before="137" w:after="0" w:line="560" w:lineRule="exact"/>
                        <w:ind w:left="675" w:right="672" w:firstLine="280"/>
                        <w:textAlignment w:val="auto"/>
                        <w:rPr>
                          <w:rFonts w:hint="eastAsia" w:ascii="仿宋_GB2312" w:hAnsi="仿宋_GB2312" w:eastAsia="仿宋_GB2312" w:cs="仿宋_GB2312"/>
                          <w:b/>
                          <w:sz w:val="28"/>
                          <w:lang w:eastAsia="zh-CN"/>
                        </w:rPr>
                      </w:pPr>
                      <w:r>
                        <w:rPr>
                          <w:rFonts w:hint="eastAsia" w:ascii="仿宋_GB2312" w:hAnsi="仿宋_GB2312" w:eastAsia="仿宋_GB2312" w:cs="仿宋_GB2312"/>
                          <w:b/>
                          <w:sz w:val="28"/>
                          <w:lang w:eastAsia="zh-CN"/>
                        </w:rPr>
                        <w:t>代理人（被授权人）</w:t>
                      </w:r>
                    </w:p>
                    <w:p>
                      <w:pPr>
                        <w:keepNext w:val="0"/>
                        <w:keepLines w:val="0"/>
                        <w:pageBreakBefore w:val="0"/>
                        <w:widowControl/>
                        <w:kinsoku/>
                        <w:wordWrap/>
                        <w:overflowPunct/>
                        <w:topLinePunct w:val="0"/>
                        <w:autoSpaceDE/>
                        <w:autoSpaceDN/>
                        <w:bidi w:val="0"/>
                        <w:adjustRightInd/>
                        <w:snapToGrid/>
                        <w:spacing w:before="137" w:after="0" w:line="560" w:lineRule="exact"/>
                        <w:ind w:right="45"/>
                        <w:jc w:val="center"/>
                        <w:textAlignment w:val="auto"/>
                        <w:rPr>
                          <w:rFonts w:hint="eastAsia" w:ascii="仿宋_GB2312" w:hAnsi="仿宋_GB2312" w:eastAsia="仿宋_GB2312" w:cs="仿宋_GB2312"/>
                          <w:b/>
                          <w:sz w:val="28"/>
                          <w:lang w:eastAsia="zh-CN"/>
                        </w:rPr>
                      </w:pPr>
                      <w:r>
                        <w:rPr>
                          <w:rFonts w:hint="eastAsia" w:ascii="仿宋_GB2312" w:hAnsi="仿宋_GB2312" w:eastAsia="仿宋_GB2312" w:cs="仿宋_GB2312"/>
                          <w:b/>
                          <w:spacing w:val="-2"/>
                          <w:sz w:val="28"/>
                          <w:lang w:eastAsia="zh-CN"/>
                        </w:rPr>
                        <w:t>居民身份证反面复印件粘贴处</w:t>
                      </w:r>
                    </w:p>
                    <w:p>
                      <w:pPr>
                        <w:keepNext w:val="0"/>
                        <w:keepLines w:val="0"/>
                        <w:pageBreakBefore w:val="0"/>
                        <w:widowControl/>
                        <w:kinsoku/>
                        <w:wordWrap/>
                        <w:overflowPunct/>
                        <w:topLinePunct w:val="0"/>
                        <w:autoSpaceDE/>
                        <w:autoSpaceDN/>
                        <w:bidi w:val="0"/>
                        <w:adjustRightInd/>
                        <w:snapToGrid/>
                        <w:spacing w:before="89" w:after="0" w:line="560" w:lineRule="exact"/>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w:t>
                      </w:r>
                      <w:r>
                        <w:rPr>
                          <w:rFonts w:hint="eastAsia" w:ascii="仿宋_GB2312" w:hAnsi="仿宋_GB2312" w:eastAsia="仿宋_GB2312" w:cs="仿宋_GB2312"/>
                          <w:spacing w:val="-3"/>
                          <w:sz w:val="28"/>
                        </w:rPr>
                        <w:t>加盖单位公章</w:t>
                      </w:r>
                      <w:r>
                        <w:rPr>
                          <w:rFonts w:hint="eastAsia" w:ascii="仿宋_GB2312" w:hAnsi="仿宋_GB2312" w:eastAsia="仿宋_GB2312" w:cs="仿宋_GB2312"/>
                          <w:sz w:val="28"/>
                        </w:rPr>
                        <w:t>）</w:t>
                      </w:r>
                    </w:p>
                  </w:txbxContent>
                </v:textbox>
                <w10:wrap type="topAndBottom"/>
              </v:shape>
            </w:pict>
          </mc:Fallback>
        </mc:AlternateContent>
      </w:r>
      <w:r>
        <w:rPr>
          <w:rFonts w:hint="eastAsia" w:ascii="仿宋_GB2312" w:hAnsi="仿宋_GB2312" w:eastAsia="仿宋_GB2312" w:cs="仿宋_GB2312"/>
          <w:b/>
          <w:sz w:val="30"/>
          <w:highlight w:val="none"/>
        </w:rPr>
        <w:t>（骑缝处加盖企业公章）</w:t>
      </w:r>
    </w:p>
    <w:p>
      <w:pPr>
        <w:spacing w:before="54"/>
        <w:ind w:left="0"/>
        <w:rPr>
          <w:rFonts w:hint="eastAsia" w:ascii="仿宋" w:hAnsi="仿宋" w:eastAsia="仿宋" w:cs="仿宋"/>
          <w:sz w:val="22"/>
          <w:szCs w:val="22"/>
          <w:highlight w:val="none"/>
          <w:lang w:val="en-US" w:eastAsia="zh-CN" w:bidi="ar-SA"/>
        </w:rPr>
      </w:pPr>
      <w:r>
        <w:rPr>
          <w:color w:val="000000"/>
          <w:highlight w:val="none"/>
        </w:rPr>
        <mc:AlternateContent>
          <mc:Choice Requires="wps">
            <w:drawing>
              <wp:anchor distT="0" distB="0" distL="114300" distR="114300" simplePos="0" relativeHeight="251675648" behindDoc="1" locked="0" layoutInCell="1" allowOverlap="1">
                <wp:simplePos x="0" y="0"/>
                <wp:positionH relativeFrom="page">
                  <wp:posOffset>862965</wp:posOffset>
                </wp:positionH>
                <wp:positionV relativeFrom="paragraph">
                  <wp:posOffset>3672840</wp:posOffset>
                </wp:positionV>
                <wp:extent cx="2829560" cy="1609090"/>
                <wp:effectExtent l="4445" t="4445" r="23495" b="5715"/>
                <wp:wrapTopAndBottom/>
                <wp:docPr id="6" name="文本框 104"/>
                <wp:cNvGraphicFramePr/>
                <a:graphic xmlns:a="http://schemas.openxmlformats.org/drawingml/2006/main">
                  <a:graphicData uri="http://schemas.microsoft.com/office/word/2010/wordprocessingShape">
                    <wps:wsp>
                      <wps:cNvSpPr txBox="1"/>
                      <wps:spPr>
                        <a:xfrm>
                          <a:off x="0" y="0"/>
                          <a:ext cx="2829560" cy="160909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before="137" w:after="0" w:line="600" w:lineRule="exact"/>
                              <w:ind w:left="661" w:right="659"/>
                              <w:jc w:val="center"/>
                              <w:textAlignment w:val="auto"/>
                              <w:rPr>
                                <w:rFonts w:hint="eastAsia" w:ascii="仿宋_GB2312" w:hAnsi="仿宋_GB2312" w:eastAsia="仿宋_GB2312" w:cs="仿宋_GB2312"/>
                                <w:b/>
                                <w:sz w:val="28"/>
                                <w:lang w:eastAsia="zh-CN"/>
                              </w:rPr>
                            </w:pPr>
                            <w:r>
                              <w:rPr>
                                <w:rFonts w:hint="eastAsia" w:ascii="仿宋_GB2312" w:hAnsi="仿宋_GB2312" w:eastAsia="仿宋_GB2312" w:cs="仿宋_GB2312"/>
                                <w:b/>
                                <w:sz w:val="28"/>
                                <w:lang w:eastAsia="zh-CN"/>
                              </w:rPr>
                              <w:t>法定代表人</w:t>
                            </w:r>
                          </w:p>
                          <w:p>
                            <w:pPr>
                              <w:keepNext w:val="0"/>
                              <w:keepLines w:val="0"/>
                              <w:pageBreakBefore w:val="0"/>
                              <w:widowControl/>
                              <w:kinsoku/>
                              <w:wordWrap/>
                              <w:overflowPunct/>
                              <w:topLinePunct w:val="0"/>
                              <w:autoSpaceDE/>
                              <w:autoSpaceDN/>
                              <w:bidi w:val="0"/>
                              <w:adjustRightInd/>
                              <w:snapToGrid/>
                              <w:spacing w:before="137" w:after="0" w:line="600" w:lineRule="exact"/>
                              <w:ind w:right="45"/>
                              <w:jc w:val="center"/>
                              <w:textAlignment w:val="auto"/>
                              <w:rPr>
                                <w:rFonts w:hint="eastAsia" w:ascii="仿宋_GB2312" w:hAnsi="仿宋_GB2312" w:eastAsia="仿宋_GB2312" w:cs="仿宋_GB2312"/>
                                <w:b/>
                                <w:spacing w:val="-2"/>
                                <w:sz w:val="28"/>
                                <w:lang w:eastAsia="zh-CN"/>
                              </w:rPr>
                            </w:pPr>
                            <w:r>
                              <w:rPr>
                                <w:rFonts w:hint="eastAsia" w:ascii="仿宋_GB2312" w:hAnsi="仿宋_GB2312" w:eastAsia="仿宋_GB2312" w:cs="仿宋_GB2312"/>
                                <w:b/>
                                <w:spacing w:val="-2"/>
                                <w:sz w:val="28"/>
                                <w:lang w:eastAsia="zh-CN"/>
                              </w:rPr>
                              <w:t>居民身份证反面复印件粘贴处</w:t>
                            </w:r>
                          </w:p>
                          <w:p>
                            <w:pPr>
                              <w:keepNext w:val="0"/>
                              <w:keepLines w:val="0"/>
                              <w:pageBreakBefore w:val="0"/>
                              <w:widowControl/>
                              <w:kinsoku/>
                              <w:wordWrap/>
                              <w:overflowPunct/>
                              <w:topLinePunct w:val="0"/>
                              <w:autoSpaceDE/>
                              <w:autoSpaceDN/>
                              <w:bidi w:val="0"/>
                              <w:adjustRightInd/>
                              <w:snapToGrid/>
                              <w:spacing w:before="243" w:after="0" w:line="600" w:lineRule="exact"/>
                              <w:ind w:left="661" w:right="659"/>
                              <w:jc w:val="center"/>
                              <w:textAlignment w:val="auto"/>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w:t>
                            </w:r>
                            <w:r>
                              <w:rPr>
                                <w:rFonts w:hint="eastAsia" w:ascii="仿宋_GB2312" w:hAnsi="仿宋_GB2312" w:eastAsia="仿宋_GB2312" w:cs="仿宋_GB2312"/>
                                <w:spacing w:val="-3"/>
                                <w:sz w:val="28"/>
                                <w:lang w:eastAsia="zh-CN"/>
                              </w:rPr>
                              <w:t>加盖单位公章</w:t>
                            </w:r>
                            <w:r>
                              <w:rPr>
                                <w:rFonts w:hint="eastAsia" w:ascii="仿宋_GB2312" w:hAnsi="仿宋_GB2312" w:eastAsia="仿宋_GB2312" w:cs="仿宋_GB2312"/>
                                <w:sz w:val="28"/>
                                <w:lang w:eastAsia="zh-CN"/>
                              </w:rPr>
                              <w:t>）</w:t>
                            </w:r>
                          </w:p>
                        </w:txbxContent>
                      </wps:txbx>
                      <wps:bodyPr lIns="0" tIns="0" rIns="0" bIns="0" upright="1"/>
                    </wps:wsp>
                  </a:graphicData>
                </a:graphic>
              </wp:anchor>
            </w:drawing>
          </mc:Choice>
          <mc:Fallback>
            <w:pict>
              <v:shape id="文本框 104" o:spid="_x0000_s1026" o:spt="202" type="#_x0000_t202" style="position:absolute;left:0pt;margin-left:67.95pt;margin-top:289.2pt;height:126.7pt;width:222.8pt;mso-position-horizontal-relative:page;mso-wrap-distance-bottom:0pt;mso-wrap-distance-top:0pt;z-index:-251640832;mso-width-relative:page;mso-height-relative:page;" filled="f" stroked="t" coordsize="21600,21600" o:gfxdata="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EA55vLaAAAACwEAAA8AAAAAAAAAAQAgAAAAOAAAAGRycy9kb3ducmV2LnhtbFBLAQIU&#10;ABQAAAAIAIdO4kCdxihOFAIAADQEAAAOAAAAAAAAAAEAIAAAAD8BAABkcnMvZTJvRG9jLnhtbFBL&#10;BQYAAAAABgAGAFkBAADFBQAAAAA=&#10;">
                <v:fill on="f" focussize="0,0"/>
                <v:stroke color="#000000" joinstyle="miter"/>
                <v:imagedata o:title=""/>
                <o:lock v:ext="edit" aspectratio="f"/>
                <v:textbox inset="0mm,0mm,0mm,0mm">
                  <w:txbxContent>
                    <w:p>
                      <w:pPr>
                        <w:keepNext w:val="0"/>
                        <w:keepLines w:val="0"/>
                        <w:pageBreakBefore w:val="0"/>
                        <w:widowControl/>
                        <w:kinsoku/>
                        <w:wordWrap/>
                        <w:overflowPunct/>
                        <w:topLinePunct w:val="0"/>
                        <w:autoSpaceDE/>
                        <w:autoSpaceDN/>
                        <w:bidi w:val="0"/>
                        <w:adjustRightInd/>
                        <w:snapToGrid/>
                        <w:spacing w:before="137" w:after="0" w:line="600" w:lineRule="exact"/>
                        <w:ind w:left="661" w:right="659"/>
                        <w:jc w:val="center"/>
                        <w:textAlignment w:val="auto"/>
                        <w:rPr>
                          <w:rFonts w:hint="eastAsia" w:ascii="仿宋_GB2312" w:hAnsi="仿宋_GB2312" w:eastAsia="仿宋_GB2312" w:cs="仿宋_GB2312"/>
                          <w:b/>
                          <w:sz w:val="28"/>
                          <w:lang w:eastAsia="zh-CN"/>
                        </w:rPr>
                      </w:pPr>
                      <w:r>
                        <w:rPr>
                          <w:rFonts w:hint="eastAsia" w:ascii="仿宋_GB2312" w:hAnsi="仿宋_GB2312" w:eastAsia="仿宋_GB2312" w:cs="仿宋_GB2312"/>
                          <w:b/>
                          <w:sz w:val="28"/>
                          <w:lang w:eastAsia="zh-CN"/>
                        </w:rPr>
                        <w:t>法定代表人</w:t>
                      </w:r>
                    </w:p>
                    <w:p>
                      <w:pPr>
                        <w:keepNext w:val="0"/>
                        <w:keepLines w:val="0"/>
                        <w:pageBreakBefore w:val="0"/>
                        <w:widowControl/>
                        <w:kinsoku/>
                        <w:wordWrap/>
                        <w:overflowPunct/>
                        <w:topLinePunct w:val="0"/>
                        <w:autoSpaceDE/>
                        <w:autoSpaceDN/>
                        <w:bidi w:val="0"/>
                        <w:adjustRightInd/>
                        <w:snapToGrid/>
                        <w:spacing w:before="137" w:after="0" w:line="600" w:lineRule="exact"/>
                        <w:ind w:right="45"/>
                        <w:jc w:val="center"/>
                        <w:textAlignment w:val="auto"/>
                        <w:rPr>
                          <w:rFonts w:hint="eastAsia" w:ascii="仿宋_GB2312" w:hAnsi="仿宋_GB2312" w:eastAsia="仿宋_GB2312" w:cs="仿宋_GB2312"/>
                          <w:b/>
                          <w:spacing w:val="-2"/>
                          <w:sz w:val="28"/>
                          <w:lang w:eastAsia="zh-CN"/>
                        </w:rPr>
                      </w:pPr>
                      <w:r>
                        <w:rPr>
                          <w:rFonts w:hint="eastAsia" w:ascii="仿宋_GB2312" w:hAnsi="仿宋_GB2312" w:eastAsia="仿宋_GB2312" w:cs="仿宋_GB2312"/>
                          <w:b/>
                          <w:spacing w:val="-2"/>
                          <w:sz w:val="28"/>
                          <w:lang w:eastAsia="zh-CN"/>
                        </w:rPr>
                        <w:t>居民身份证反面复印件粘贴处</w:t>
                      </w:r>
                    </w:p>
                    <w:p>
                      <w:pPr>
                        <w:keepNext w:val="0"/>
                        <w:keepLines w:val="0"/>
                        <w:pageBreakBefore w:val="0"/>
                        <w:widowControl/>
                        <w:kinsoku/>
                        <w:wordWrap/>
                        <w:overflowPunct/>
                        <w:topLinePunct w:val="0"/>
                        <w:autoSpaceDE/>
                        <w:autoSpaceDN/>
                        <w:bidi w:val="0"/>
                        <w:adjustRightInd/>
                        <w:snapToGrid/>
                        <w:spacing w:before="243" w:after="0" w:line="600" w:lineRule="exact"/>
                        <w:ind w:left="661" w:right="659"/>
                        <w:jc w:val="center"/>
                        <w:textAlignment w:val="auto"/>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w:t>
                      </w:r>
                      <w:r>
                        <w:rPr>
                          <w:rFonts w:hint="eastAsia" w:ascii="仿宋_GB2312" w:hAnsi="仿宋_GB2312" w:eastAsia="仿宋_GB2312" w:cs="仿宋_GB2312"/>
                          <w:spacing w:val="-3"/>
                          <w:sz w:val="28"/>
                          <w:lang w:eastAsia="zh-CN"/>
                        </w:rPr>
                        <w:t>加盖单位公章</w:t>
                      </w:r>
                      <w:r>
                        <w:rPr>
                          <w:rFonts w:hint="eastAsia" w:ascii="仿宋_GB2312" w:hAnsi="仿宋_GB2312" w:eastAsia="仿宋_GB2312" w:cs="仿宋_GB2312"/>
                          <w:sz w:val="28"/>
                          <w:lang w:eastAsia="zh-CN"/>
                        </w:rPr>
                        <w:t>）</w:t>
                      </w:r>
                    </w:p>
                  </w:txbxContent>
                </v:textbox>
                <w10:wrap type="topAndBottom"/>
              </v:shape>
            </w:pict>
          </mc:Fallback>
        </mc:AlternateContent>
      </w:r>
      <w:r>
        <w:rPr>
          <w:color w:val="000000"/>
          <w:highlight w:val="none"/>
        </w:rPr>
        <mc:AlternateContent>
          <mc:Choice Requires="wps">
            <w:drawing>
              <wp:anchor distT="0" distB="0" distL="114300" distR="114300" simplePos="0" relativeHeight="251673600" behindDoc="1" locked="0" layoutInCell="1" allowOverlap="1">
                <wp:simplePos x="0" y="0"/>
                <wp:positionH relativeFrom="page">
                  <wp:posOffset>893445</wp:posOffset>
                </wp:positionH>
                <wp:positionV relativeFrom="paragraph">
                  <wp:posOffset>1782445</wp:posOffset>
                </wp:positionV>
                <wp:extent cx="2829560" cy="1609090"/>
                <wp:effectExtent l="4445" t="4445" r="23495" b="5715"/>
                <wp:wrapTopAndBottom/>
                <wp:docPr id="4" name="Text Box 21"/>
                <wp:cNvGraphicFramePr/>
                <a:graphic xmlns:a="http://schemas.openxmlformats.org/drawingml/2006/main">
                  <a:graphicData uri="http://schemas.microsoft.com/office/word/2010/wordprocessingShape">
                    <wps:wsp>
                      <wps:cNvSpPr txBox="1"/>
                      <wps:spPr>
                        <a:xfrm>
                          <a:off x="0" y="0"/>
                          <a:ext cx="2829560" cy="160909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before="137" w:after="0" w:line="600" w:lineRule="exact"/>
                              <w:ind w:left="661" w:right="659"/>
                              <w:jc w:val="center"/>
                              <w:textAlignment w:val="auto"/>
                              <w:rPr>
                                <w:rFonts w:hint="eastAsia" w:ascii="仿宋_GB2312" w:hAnsi="仿宋_GB2312" w:eastAsia="仿宋_GB2312" w:cs="仿宋_GB2312"/>
                                <w:b/>
                                <w:sz w:val="28"/>
                                <w:lang w:eastAsia="zh-CN"/>
                              </w:rPr>
                            </w:pPr>
                            <w:r>
                              <w:rPr>
                                <w:rFonts w:hint="eastAsia" w:ascii="仿宋_GB2312" w:hAnsi="仿宋_GB2312" w:eastAsia="仿宋_GB2312" w:cs="仿宋_GB2312"/>
                                <w:b/>
                                <w:sz w:val="28"/>
                                <w:lang w:eastAsia="zh-CN"/>
                              </w:rPr>
                              <w:t>法定代表人</w:t>
                            </w:r>
                          </w:p>
                          <w:p>
                            <w:pPr>
                              <w:keepNext w:val="0"/>
                              <w:keepLines w:val="0"/>
                              <w:pageBreakBefore w:val="0"/>
                              <w:widowControl/>
                              <w:kinsoku/>
                              <w:wordWrap/>
                              <w:overflowPunct/>
                              <w:topLinePunct w:val="0"/>
                              <w:autoSpaceDE/>
                              <w:autoSpaceDN/>
                              <w:bidi w:val="0"/>
                              <w:adjustRightInd/>
                              <w:snapToGrid/>
                              <w:spacing w:before="137" w:after="0" w:line="600" w:lineRule="exact"/>
                              <w:ind w:right="45"/>
                              <w:jc w:val="center"/>
                              <w:textAlignment w:val="auto"/>
                              <w:rPr>
                                <w:rFonts w:hint="eastAsia" w:ascii="仿宋_GB2312" w:hAnsi="仿宋_GB2312" w:eastAsia="仿宋_GB2312" w:cs="仿宋_GB2312"/>
                                <w:b/>
                                <w:spacing w:val="-2"/>
                                <w:sz w:val="28"/>
                                <w:lang w:eastAsia="zh-CN"/>
                              </w:rPr>
                            </w:pPr>
                            <w:r>
                              <w:rPr>
                                <w:rFonts w:hint="eastAsia" w:ascii="仿宋_GB2312" w:hAnsi="仿宋_GB2312" w:eastAsia="仿宋_GB2312" w:cs="仿宋_GB2312"/>
                                <w:b/>
                                <w:spacing w:val="-2"/>
                                <w:sz w:val="28"/>
                                <w:lang w:eastAsia="zh-CN"/>
                              </w:rPr>
                              <w:t>居民身份证正面复印件粘贴处</w:t>
                            </w:r>
                          </w:p>
                          <w:p>
                            <w:pPr>
                              <w:keepNext w:val="0"/>
                              <w:keepLines w:val="0"/>
                              <w:pageBreakBefore w:val="0"/>
                              <w:widowControl/>
                              <w:kinsoku/>
                              <w:wordWrap/>
                              <w:overflowPunct/>
                              <w:topLinePunct w:val="0"/>
                              <w:autoSpaceDE/>
                              <w:autoSpaceDN/>
                              <w:bidi w:val="0"/>
                              <w:adjustRightInd/>
                              <w:snapToGrid/>
                              <w:spacing w:before="243" w:after="0" w:line="600" w:lineRule="exact"/>
                              <w:ind w:left="661" w:right="659"/>
                              <w:jc w:val="center"/>
                              <w:textAlignment w:val="auto"/>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w:t>
                            </w:r>
                            <w:r>
                              <w:rPr>
                                <w:rFonts w:hint="eastAsia" w:ascii="仿宋_GB2312" w:hAnsi="仿宋_GB2312" w:eastAsia="仿宋_GB2312" w:cs="仿宋_GB2312"/>
                                <w:spacing w:val="-3"/>
                                <w:sz w:val="28"/>
                                <w:lang w:eastAsia="zh-CN"/>
                              </w:rPr>
                              <w:t>加盖单位公章</w:t>
                            </w:r>
                            <w:r>
                              <w:rPr>
                                <w:rFonts w:hint="eastAsia" w:ascii="仿宋_GB2312" w:hAnsi="仿宋_GB2312" w:eastAsia="仿宋_GB2312" w:cs="仿宋_GB2312"/>
                                <w:sz w:val="28"/>
                                <w:lang w:eastAsia="zh-CN"/>
                              </w:rPr>
                              <w:t>）</w:t>
                            </w:r>
                          </w:p>
                        </w:txbxContent>
                      </wps:txbx>
                      <wps:bodyPr lIns="0" tIns="0" rIns="0" bIns="0" upright="1"/>
                    </wps:wsp>
                  </a:graphicData>
                </a:graphic>
              </wp:anchor>
            </w:drawing>
          </mc:Choice>
          <mc:Fallback>
            <w:pict>
              <v:shape id="Text Box 21" o:spid="_x0000_s1026" o:spt="202" type="#_x0000_t202" style="position:absolute;left:0pt;margin-left:70.35pt;margin-top:140.35pt;height:126.7pt;width:222.8pt;mso-position-horizontal-relative:page;mso-wrap-distance-bottom:0pt;mso-wrap-distance-top:0pt;z-index:-251642880;mso-width-relative:page;mso-height-relative:page;" filled="f" stroked="t" coordsize="21600,21600" o:gfxdata="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EN6ECtoAAAAL&#10;AQAADwAAAAAAAAABACAAAAA4AAAAZHJzL2Rvd25yZXYueG1sUEsBAhQAFAAAAAgAh07iQFS23/EE&#10;AgAAMgQAAA4AAAAAAAAAAQAgAAAAPwEAAGRycy9lMm9Eb2MueG1sUEsFBgAAAAAGAAYAWQEAALUF&#10;AAAAAA==&#10;">
                <v:fill on="f" focussize="0,0"/>
                <v:stroke color="#000000" joinstyle="miter"/>
                <v:imagedata o:title=""/>
                <o:lock v:ext="edit" aspectratio="f"/>
                <v:textbox inset="0mm,0mm,0mm,0mm">
                  <w:txbxContent>
                    <w:p>
                      <w:pPr>
                        <w:keepNext w:val="0"/>
                        <w:keepLines w:val="0"/>
                        <w:pageBreakBefore w:val="0"/>
                        <w:widowControl/>
                        <w:kinsoku/>
                        <w:wordWrap/>
                        <w:overflowPunct/>
                        <w:topLinePunct w:val="0"/>
                        <w:autoSpaceDE/>
                        <w:autoSpaceDN/>
                        <w:bidi w:val="0"/>
                        <w:adjustRightInd/>
                        <w:snapToGrid/>
                        <w:spacing w:before="137" w:after="0" w:line="600" w:lineRule="exact"/>
                        <w:ind w:left="661" w:right="659"/>
                        <w:jc w:val="center"/>
                        <w:textAlignment w:val="auto"/>
                        <w:rPr>
                          <w:rFonts w:hint="eastAsia" w:ascii="仿宋_GB2312" w:hAnsi="仿宋_GB2312" w:eastAsia="仿宋_GB2312" w:cs="仿宋_GB2312"/>
                          <w:b/>
                          <w:sz w:val="28"/>
                          <w:lang w:eastAsia="zh-CN"/>
                        </w:rPr>
                      </w:pPr>
                      <w:r>
                        <w:rPr>
                          <w:rFonts w:hint="eastAsia" w:ascii="仿宋_GB2312" w:hAnsi="仿宋_GB2312" w:eastAsia="仿宋_GB2312" w:cs="仿宋_GB2312"/>
                          <w:b/>
                          <w:sz w:val="28"/>
                          <w:lang w:eastAsia="zh-CN"/>
                        </w:rPr>
                        <w:t>法定代表人</w:t>
                      </w:r>
                    </w:p>
                    <w:p>
                      <w:pPr>
                        <w:keepNext w:val="0"/>
                        <w:keepLines w:val="0"/>
                        <w:pageBreakBefore w:val="0"/>
                        <w:widowControl/>
                        <w:kinsoku/>
                        <w:wordWrap/>
                        <w:overflowPunct/>
                        <w:topLinePunct w:val="0"/>
                        <w:autoSpaceDE/>
                        <w:autoSpaceDN/>
                        <w:bidi w:val="0"/>
                        <w:adjustRightInd/>
                        <w:snapToGrid/>
                        <w:spacing w:before="137" w:after="0" w:line="600" w:lineRule="exact"/>
                        <w:ind w:right="45"/>
                        <w:jc w:val="center"/>
                        <w:textAlignment w:val="auto"/>
                        <w:rPr>
                          <w:rFonts w:hint="eastAsia" w:ascii="仿宋_GB2312" w:hAnsi="仿宋_GB2312" w:eastAsia="仿宋_GB2312" w:cs="仿宋_GB2312"/>
                          <w:b/>
                          <w:spacing w:val="-2"/>
                          <w:sz w:val="28"/>
                          <w:lang w:eastAsia="zh-CN"/>
                        </w:rPr>
                      </w:pPr>
                      <w:r>
                        <w:rPr>
                          <w:rFonts w:hint="eastAsia" w:ascii="仿宋_GB2312" w:hAnsi="仿宋_GB2312" w:eastAsia="仿宋_GB2312" w:cs="仿宋_GB2312"/>
                          <w:b/>
                          <w:spacing w:val="-2"/>
                          <w:sz w:val="28"/>
                          <w:lang w:eastAsia="zh-CN"/>
                        </w:rPr>
                        <w:t>居民身份证正面复印件粘贴处</w:t>
                      </w:r>
                    </w:p>
                    <w:p>
                      <w:pPr>
                        <w:keepNext w:val="0"/>
                        <w:keepLines w:val="0"/>
                        <w:pageBreakBefore w:val="0"/>
                        <w:widowControl/>
                        <w:kinsoku/>
                        <w:wordWrap/>
                        <w:overflowPunct/>
                        <w:topLinePunct w:val="0"/>
                        <w:autoSpaceDE/>
                        <w:autoSpaceDN/>
                        <w:bidi w:val="0"/>
                        <w:adjustRightInd/>
                        <w:snapToGrid/>
                        <w:spacing w:before="243" w:after="0" w:line="600" w:lineRule="exact"/>
                        <w:ind w:left="661" w:right="659"/>
                        <w:jc w:val="center"/>
                        <w:textAlignment w:val="auto"/>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w:t>
                      </w:r>
                      <w:r>
                        <w:rPr>
                          <w:rFonts w:hint="eastAsia" w:ascii="仿宋_GB2312" w:hAnsi="仿宋_GB2312" w:eastAsia="仿宋_GB2312" w:cs="仿宋_GB2312"/>
                          <w:spacing w:val="-3"/>
                          <w:sz w:val="28"/>
                          <w:lang w:eastAsia="zh-CN"/>
                        </w:rPr>
                        <w:t>加盖单位公章</w:t>
                      </w:r>
                      <w:r>
                        <w:rPr>
                          <w:rFonts w:hint="eastAsia" w:ascii="仿宋_GB2312" w:hAnsi="仿宋_GB2312" w:eastAsia="仿宋_GB2312" w:cs="仿宋_GB2312"/>
                          <w:sz w:val="28"/>
                          <w:lang w:eastAsia="zh-CN"/>
                        </w:rPr>
                        <w:t>）</w:t>
                      </w:r>
                    </w:p>
                  </w:txbxContent>
                </v:textbox>
                <w10:wrap type="topAndBottom"/>
              </v:shape>
            </w:pict>
          </mc:Fallback>
        </mc:AlternateContent>
      </w:r>
      <w:r>
        <w:rPr>
          <w:color w:val="000000"/>
          <w:highlight w:val="none"/>
        </w:rPr>
        <mc:AlternateContent>
          <mc:Choice Requires="wps">
            <w:drawing>
              <wp:anchor distT="0" distB="0" distL="114300" distR="114300" simplePos="0" relativeHeight="251674624" behindDoc="1" locked="0" layoutInCell="1" allowOverlap="1">
                <wp:simplePos x="0" y="0"/>
                <wp:positionH relativeFrom="page">
                  <wp:posOffset>3843655</wp:posOffset>
                </wp:positionH>
                <wp:positionV relativeFrom="paragraph">
                  <wp:posOffset>1782445</wp:posOffset>
                </wp:positionV>
                <wp:extent cx="2829560" cy="1609090"/>
                <wp:effectExtent l="4445" t="4445" r="23495" b="5715"/>
                <wp:wrapTopAndBottom/>
                <wp:docPr id="5" name="Text Box 22"/>
                <wp:cNvGraphicFramePr/>
                <a:graphic xmlns:a="http://schemas.openxmlformats.org/drawingml/2006/main">
                  <a:graphicData uri="http://schemas.microsoft.com/office/word/2010/wordprocessingShape">
                    <wps:wsp>
                      <wps:cNvSpPr txBox="1"/>
                      <wps:spPr>
                        <a:xfrm>
                          <a:off x="0" y="0"/>
                          <a:ext cx="2829560" cy="160909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before="137" w:after="0" w:line="600" w:lineRule="exact"/>
                              <w:ind w:left="675" w:right="672" w:firstLine="280"/>
                              <w:textAlignment w:val="auto"/>
                              <w:rPr>
                                <w:rFonts w:hint="eastAsia" w:ascii="仿宋_GB2312" w:hAnsi="仿宋_GB2312" w:eastAsia="仿宋_GB2312" w:cs="仿宋_GB2312"/>
                                <w:b/>
                                <w:sz w:val="28"/>
                                <w:lang w:eastAsia="zh-CN"/>
                              </w:rPr>
                            </w:pPr>
                            <w:r>
                              <w:rPr>
                                <w:rFonts w:hint="eastAsia" w:ascii="仿宋_GB2312" w:hAnsi="仿宋_GB2312" w:eastAsia="仿宋_GB2312" w:cs="仿宋_GB2312"/>
                                <w:b/>
                                <w:sz w:val="28"/>
                                <w:lang w:eastAsia="zh-CN"/>
                              </w:rPr>
                              <w:t>代理人（被授权人）</w:t>
                            </w:r>
                          </w:p>
                          <w:p>
                            <w:pPr>
                              <w:keepNext w:val="0"/>
                              <w:keepLines w:val="0"/>
                              <w:pageBreakBefore w:val="0"/>
                              <w:widowControl/>
                              <w:kinsoku/>
                              <w:wordWrap/>
                              <w:overflowPunct/>
                              <w:topLinePunct w:val="0"/>
                              <w:autoSpaceDE/>
                              <w:autoSpaceDN/>
                              <w:bidi w:val="0"/>
                              <w:adjustRightInd/>
                              <w:snapToGrid/>
                              <w:spacing w:before="137" w:after="0" w:line="600" w:lineRule="exact"/>
                              <w:ind w:right="45"/>
                              <w:jc w:val="center"/>
                              <w:textAlignment w:val="auto"/>
                              <w:rPr>
                                <w:rFonts w:hint="eastAsia" w:ascii="仿宋_GB2312" w:hAnsi="仿宋_GB2312" w:eastAsia="仿宋_GB2312" w:cs="仿宋_GB2312"/>
                                <w:b/>
                                <w:sz w:val="28"/>
                                <w:lang w:eastAsia="zh-CN"/>
                              </w:rPr>
                            </w:pPr>
                            <w:r>
                              <w:rPr>
                                <w:rFonts w:hint="eastAsia" w:ascii="仿宋_GB2312" w:hAnsi="仿宋_GB2312" w:eastAsia="仿宋_GB2312" w:cs="仿宋_GB2312"/>
                                <w:b/>
                                <w:spacing w:val="-2"/>
                                <w:sz w:val="28"/>
                                <w:lang w:eastAsia="zh-CN"/>
                              </w:rPr>
                              <w:t>居民身份证正面复印件粘贴处</w:t>
                            </w:r>
                          </w:p>
                          <w:p>
                            <w:pPr>
                              <w:keepNext w:val="0"/>
                              <w:keepLines w:val="0"/>
                              <w:pageBreakBefore w:val="0"/>
                              <w:widowControl/>
                              <w:kinsoku/>
                              <w:wordWrap/>
                              <w:overflowPunct/>
                              <w:topLinePunct w:val="0"/>
                              <w:autoSpaceDE/>
                              <w:autoSpaceDN/>
                              <w:bidi w:val="0"/>
                              <w:adjustRightInd/>
                              <w:snapToGrid/>
                              <w:spacing w:before="89" w:after="0" w:line="600" w:lineRule="exact"/>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w:t>
                            </w:r>
                            <w:r>
                              <w:rPr>
                                <w:rFonts w:hint="eastAsia" w:ascii="仿宋_GB2312" w:hAnsi="仿宋_GB2312" w:eastAsia="仿宋_GB2312" w:cs="仿宋_GB2312"/>
                                <w:spacing w:val="-3"/>
                                <w:sz w:val="28"/>
                              </w:rPr>
                              <w:t>加盖单位公章</w:t>
                            </w:r>
                            <w:r>
                              <w:rPr>
                                <w:rFonts w:hint="eastAsia" w:ascii="仿宋_GB2312" w:hAnsi="仿宋_GB2312" w:eastAsia="仿宋_GB2312" w:cs="仿宋_GB2312"/>
                                <w:sz w:val="28"/>
                              </w:rPr>
                              <w:t>）</w:t>
                            </w:r>
                          </w:p>
                        </w:txbxContent>
                      </wps:txbx>
                      <wps:bodyPr lIns="0" tIns="0" rIns="0" bIns="0" upright="1"/>
                    </wps:wsp>
                  </a:graphicData>
                </a:graphic>
              </wp:anchor>
            </w:drawing>
          </mc:Choice>
          <mc:Fallback>
            <w:pict>
              <v:shape id="Text Box 22" o:spid="_x0000_s1026" o:spt="202" type="#_x0000_t202" style="position:absolute;left:0pt;margin-left:302.65pt;margin-top:140.35pt;height:126.7pt;width:222.8pt;mso-position-horizontal-relative:page;mso-wrap-distance-bottom:0pt;mso-wrap-distance-top:0pt;z-index:-251641856;mso-width-relative:page;mso-height-relative:page;" filled="f" stroked="t" coordsize="21600,21600" o:gfxdata="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J3mlzjcAAAA&#10;DAEAAA8AAAAAAAAAAQAgAAAAOAAAAGRycy9kb3ducmV2LnhtbFBLAQIUABQAAAAIAIdO4kDahPQz&#10;AwIAADIEAAAOAAAAAAAAAAEAIAAAAEEBAABkcnMvZTJvRG9jLnhtbFBLBQYAAAAABgAGAFkBAAC2&#10;BQAAAAA=&#10;">
                <v:fill on="f" focussize="0,0"/>
                <v:stroke color="#000000" joinstyle="miter"/>
                <v:imagedata o:title=""/>
                <o:lock v:ext="edit" aspectratio="f"/>
                <v:textbox inset="0mm,0mm,0mm,0mm">
                  <w:txbxContent>
                    <w:p>
                      <w:pPr>
                        <w:keepNext w:val="0"/>
                        <w:keepLines w:val="0"/>
                        <w:pageBreakBefore w:val="0"/>
                        <w:widowControl/>
                        <w:kinsoku/>
                        <w:wordWrap/>
                        <w:overflowPunct/>
                        <w:topLinePunct w:val="0"/>
                        <w:autoSpaceDE/>
                        <w:autoSpaceDN/>
                        <w:bidi w:val="0"/>
                        <w:adjustRightInd/>
                        <w:snapToGrid/>
                        <w:spacing w:before="137" w:after="0" w:line="600" w:lineRule="exact"/>
                        <w:ind w:left="675" w:right="672" w:firstLine="280"/>
                        <w:textAlignment w:val="auto"/>
                        <w:rPr>
                          <w:rFonts w:hint="eastAsia" w:ascii="仿宋_GB2312" w:hAnsi="仿宋_GB2312" w:eastAsia="仿宋_GB2312" w:cs="仿宋_GB2312"/>
                          <w:b/>
                          <w:sz w:val="28"/>
                          <w:lang w:eastAsia="zh-CN"/>
                        </w:rPr>
                      </w:pPr>
                      <w:r>
                        <w:rPr>
                          <w:rFonts w:hint="eastAsia" w:ascii="仿宋_GB2312" w:hAnsi="仿宋_GB2312" w:eastAsia="仿宋_GB2312" w:cs="仿宋_GB2312"/>
                          <w:b/>
                          <w:sz w:val="28"/>
                          <w:lang w:eastAsia="zh-CN"/>
                        </w:rPr>
                        <w:t>代理人（被授权人）</w:t>
                      </w:r>
                    </w:p>
                    <w:p>
                      <w:pPr>
                        <w:keepNext w:val="0"/>
                        <w:keepLines w:val="0"/>
                        <w:pageBreakBefore w:val="0"/>
                        <w:widowControl/>
                        <w:kinsoku/>
                        <w:wordWrap/>
                        <w:overflowPunct/>
                        <w:topLinePunct w:val="0"/>
                        <w:autoSpaceDE/>
                        <w:autoSpaceDN/>
                        <w:bidi w:val="0"/>
                        <w:adjustRightInd/>
                        <w:snapToGrid/>
                        <w:spacing w:before="137" w:after="0" w:line="600" w:lineRule="exact"/>
                        <w:ind w:right="45"/>
                        <w:jc w:val="center"/>
                        <w:textAlignment w:val="auto"/>
                        <w:rPr>
                          <w:rFonts w:hint="eastAsia" w:ascii="仿宋_GB2312" w:hAnsi="仿宋_GB2312" w:eastAsia="仿宋_GB2312" w:cs="仿宋_GB2312"/>
                          <w:b/>
                          <w:sz w:val="28"/>
                          <w:lang w:eastAsia="zh-CN"/>
                        </w:rPr>
                      </w:pPr>
                      <w:r>
                        <w:rPr>
                          <w:rFonts w:hint="eastAsia" w:ascii="仿宋_GB2312" w:hAnsi="仿宋_GB2312" w:eastAsia="仿宋_GB2312" w:cs="仿宋_GB2312"/>
                          <w:b/>
                          <w:spacing w:val="-2"/>
                          <w:sz w:val="28"/>
                          <w:lang w:eastAsia="zh-CN"/>
                        </w:rPr>
                        <w:t>居民身份证正面复印件粘贴处</w:t>
                      </w:r>
                    </w:p>
                    <w:p>
                      <w:pPr>
                        <w:keepNext w:val="0"/>
                        <w:keepLines w:val="0"/>
                        <w:pageBreakBefore w:val="0"/>
                        <w:widowControl/>
                        <w:kinsoku/>
                        <w:wordWrap/>
                        <w:overflowPunct/>
                        <w:topLinePunct w:val="0"/>
                        <w:autoSpaceDE/>
                        <w:autoSpaceDN/>
                        <w:bidi w:val="0"/>
                        <w:adjustRightInd/>
                        <w:snapToGrid/>
                        <w:spacing w:before="89" w:after="0" w:line="600" w:lineRule="exact"/>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w:t>
                      </w:r>
                      <w:r>
                        <w:rPr>
                          <w:rFonts w:hint="eastAsia" w:ascii="仿宋_GB2312" w:hAnsi="仿宋_GB2312" w:eastAsia="仿宋_GB2312" w:cs="仿宋_GB2312"/>
                          <w:spacing w:val="-3"/>
                          <w:sz w:val="28"/>
                        </w:rPr>
                        <w:t>加盖单位公章</w:t>
                      </w:r>
                      <w:r>
                        <w:rPr>
                          <w:rFonts w:hint="eastAsia" w:ascii="仿宋_GB2312" w:hAnsi="仿宋_GB2312" w:eastAsia="仿宋_GB2312" w:cs="仿宋_GB2312"/>
                          <w:sz w:val="28"/>
                        </w:rPr>
                        <w:t>）</w:t>
                      </w:r>
                    </w:p>
                  </w:txbxContent>
                </v:textbox>
                <w10:wrap type="topAndBottom"/>
              </v:shape>
            </w:pict>
          </mc:Fallback>
        </mc:AlternateContent>
      </w:r>
      <w:bookmarkStart w:id="207" w:name="附件2"/>
      <w:bookmarkEnd w:id="207"/>
      <w:r>
        <w:rPr>
          <w:rFonts w:hint="eastAsia" w:ascii="黑体" w:eastAsia="黑体"/>
          <w:highlight w:val="none"/>
        </w:rPr>
        <w:br w:type="page"/>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rightChars="0"/>
        <w:jc w:val="both"/>
        <w:textAlignment w:val="baseline"/>
        <w:rPr>
          <w:rFonts w:hint="eastAsia" w:ascii="黑体" w:hAnsi="黑体" w:eastAsia="黑体" w:cs="黑体"/>
          <w:snapToGrid w:val="0"/>
          <w:color w:val="auto"/>
          <w:kern w:val="0"/>
          <w:sz w:val="32"/>
          <w:szCs w:val="32"/>
          <w:highlight w:val="none"/>
          <w:lang w:val="en-US" w:eastAsia="zh-CN"/>
        </w:rPr>
      </w:pPr>
      <w:bookmarkStart w:id="208" w:name="福建省第五批医用耗材集中带量采购申报函"/>
      <w:bookmarkEnd w:id="208"/>
      <w:bookmarkStart w:id="209" w:name="_Toc379500580"/>
      <w:bookmarkStart w:id="210" w:name="_Toc1310007708"/>
      <w:bookmarkStart w:id="211" w:name="_Toc1064606618"/>
      <w:r>
        <w:rPr>
          <w:rFonts w:hint="eastAsia" w:ascii="黑体" w:hAnsi="黑体" w:eastAsia="黑体" w:cs="黑体"/>
          <w:snapToGrid w:val="0"/>
          <w:color w:val="auto"/>
          <w:kern w:val="0"/>
          <w:sz w:val="32"/>
          <w:szCs w:val="32"/>
          <w:highlight w:val="none"/>
          <w:lang w:val="en-US" w:eastAsia="zh-CN"/>
        </w:rPr>
        <w:t>附件3</w:t>
      </w:r>
      <w:bookmarkEnd w:id="209"/>
      <w:bookmarkEnd w:id="210"/>
      <w:bookmarkEnd w:id="211"/>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rightChars="0"/>
        <w:jc w:val="both"/>
        <w:textAlignment w:val="baseline"/>
        <w:rPr>
          <w:rFonts w:hint="eastAsia" w:ascii="Times New Roman" w:hAnsi="Arial" w:eastAsia="仿宋_GB2312" w:cs="Arial"/>
          <w:snapToGrid w:val="0"/>
          <w:color w:val="auto"/>
          <w:kern w:val="0"/>
          <w:sz w:val="32"/>
          <w:szCs w:val="32"/>
          <w:highlight w:val="none"/>
          <w:lang w:val="en-US" w:eastAsia="zh-CN"/>
        </w:rPr>
      </w:pPr>
    </w:p>
    <w:p>
      <w:pPr>
        <w:pStyle w:val="8"/>
        <w:keepNext w:val="0"/>
        <w:keepLines w:val="0"/>
        <w:pageBreakBefore w:val="0"/>
        <w:kinsoku/>
        <w:wordWrap/>
        <w:overflowPunct/>
        <w:topLinePunct w:val="0"/>
        <w:bidi w:val="0"/>
        <w:spacing w:before="0" w:line="560" w:lineRule="exact"/>
        <w:ind w:left="0" w:right="0" w:rightChars="0"/>
        <w:jc w:val="center"/>
        <w:rPr>
          <w:rFonts w:hint="eastAsia" w:ascii="方正小标宋简体" w:hAnsi="方正小标宋简体" w:eastAsia="方正小标宋简体" w:cs="方正小标宋简体"/>
          <w:b w:val="0"/>
          <w:bCs w:val="0"/>
          <w:highlight w:val="none"/>
        </w:rPr>
      </w:pPr>
      <w:r>
        <w:rPr>
          <w:rFonts w:hint="eastAsia" w:ascii="方正小标宋简体" w:hAnsi="方正小标宋简体" w:eastAsia="方正小标宋简体" w:cs="方正小标宋简体"/>
          <w:b w:val="0"/>
          <w:bCs w:val="0"/>
          <w:sz w:val="32"/>
          <w:szCs w:val="32"/>
          <w:highlight w:val="none"/>
          <w:lang w:val="en-US" w:eastAsia="zh-CN"/>
        </w:rPr>
        <w:t>一次性使用阴道扩张器</w:t>
      </w:r>
      <w:r>
        <w:rPr>
          <w:rFonts w:hint="eastAsia" w:ascii="方正小标宋简体" w:hAnsi="方正小标宋简体" w:eastAsia="方正小标宋简体" w:cs="方正小标宋简体"/>
          <w:b w:val="0"/>
          <w:bCs w:val="0"/>
          <w:highlight w:val="none"/>
          <w:lang w:val="en-US" w:eastAsia="zh-CN"/>
        </w:rPr>
        <w:t>全省性联盟集中带量</w:t>
      </w:r>
      <w:r>
        <w:rPr>
          <w:rFonts w:hint="eastAsia" w:ascii="方正小标宋简体" w:hAnsi="方正小标宋简体" w:eastAsia="方正小标宋简体" w:cs="方正小标宋简体"/>
          <w:b w:val="0"/>
          <w:bCs w:val="0"/>
          <w:highlight w:val="none"/>
        </w:rPr>
        <w:t>采购</w:t>
      </w:r>
    </w:p>
    <w:p>
      <w:pPr>
        <w:pStyle w:val="8"/>
        <w:keepNext w:val="0"/>
        <w:keepLines w:val="0"/>
        <w:pageBreakBefore w:val="0"/>
        <w:kinsoku/>
        <w:wordWrap/>
        <w:overflowPunct/>
        <w:topLinePunct w:val="0"/>
        <w:bidi w:val="0"/>
        <w:spacing w:before="0" w:line="560" w:lineRule="exact"/>
        <w:ind w:left="0" w:right="0" w:rightChars="0"/>
        <w:jc w:val="center"/>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highlight w:val="none"/>
        </w:rPr>
        <w:t>申报函</w:t>
      </w:r>
    </w:p>
    <w:p>
      <w:pPr>
        <w:pStyle w:val="8"/>
        <w:keepNext w:val="0"/>
        <w:keepLines w:val="0"/>
        <w:pageBreakBefore w:val="0"/>
        <w:kinsoku/>
        <w:wordWrap/>
        <w:overflowPunct/>
        <w:topLinePunct w:val="0"/>
        <w:bidi w:val="0"/>
        <w:spacing w:before="0" w:line="560" w:lineRule="exact"/>
        <w:ind w:left="0" w:right="0" w:rightChars="0"/>
        <w:jc w:val="center"/>
        <w:rPr>
          <w:rFonts w:hint="eastAsia" w:ascii="黑体" w:hAnsi="黑体" w:eastAsia="黑体" w:cs="黑体"/>
          <w:b w:val="0"/>
          <w:bCs w:val="0"/>
          <w:sz w:val="32"/>
          <w:szCs w:val="32"/>
          <w:highlight w:val="none"/>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_GB2312" w:hAnsi="仿宋_GB2312" w:eastAsia="仿宋_GB2312" w:cs="仿宋_GB2312"/>
          <w:b w:val="0"/>
          <w:bCs w:val="0"/>
          <w:i w:val="0"/>
          <w:caps w:val="0"/>
          <w:color w:val="333333"/>
          <w:spacing w:val="-11"/>
          <w:kern w:val="0"/>
          <w:sz w:val="32"/>
          <w:szCs w:val="32"/>
          <w:highlight w:val="none"/>
          <w:shd w:val="clear" w:color="auto" w:fill="FFFFFF"/>
          <w:lang w:val="en-US" w:eastAsia="zh-CN" w:bidi="ar"/>
        </w:rPr>
      </w:pPr>
      <w:r>
        <w:rPr>
          <w:rFonts w:hint="eastAsia" w:ascii="仿宋_GB2312" w:hAnsi="仿宋_GB2312" w:eastAsia="仿宋_GB2312" w:cs="仿宋_GB2312"/>
          <w:spacing w:val="-11"/>
          <w:sz w:val="32"/>
          <w:szCs w:val="32"/>
          <w:highlight w:val="none"/>
          <w:lang w:val="en-US" w:eastAsia="zh-CN" w:bidi="ar-SA"/>
        </w:rPr>
        <w:t>一次性使用阴道扩张器全省性联盟集采领导小组办公室</w:t>
      </w:r>
      <w:r>
        <w:rPr>
          <w:rFonts w:hint="eastAsia" w:ascii="仿宋_GB2312" w:hAnsi="仿宋_GB2312" w:eastAsia="仿宋_GB2312" w:cs="仿宋_GB2312"/>
          <w:b w:val="0"/>
          <w:bCs w:val="0"/>
          <w:i w:val="0"/>
          <w:caps w:val="0"/>
          <w:color w:val="333333"/>
          <w:spacing w:val="-11"/>
          <w:kern w:val="0"/>
          <w:sz w:val="32"/>
          <w:szCs w:val="32"/>
          <w:highlight w:val="none"/>
          <w:shd w:val="clear" w:color="auto" w:fill="FFFFFF"/>
          <w:lang w:val="en-US" w:eastAsia="zh-CN" w:bidi="ar"/>
        </w:rPr>
        <w:t>：</w:t>
      </w:r>
    </w:p>
    <w:p>
      <w:pPr>
        <w:pStyle w:val="8"/>
        <w:keepNext w:val="0"/>
        <w:keepLines w:val="0"/>
        <w:pageBreakBefore w:val="0"/>
        <w:kinsoku/>
        <w:wordWrap/>
        <w:overflowPunct/>
        <w:topLinePunct w:val="0"/>
        <w:bidi w:val="0"/>
        <w:adjustRightInd/>
        <w:snapToGrid/>
        <w:spacing w:before="0" w:line="560" w:lineRule="exact"/>
        <w:ind w:left="0" w:right="0" w:rightChars="0" w:firstLine="640"/>
        <w:textAlignment w:val="auto"/>
        <w:rPr>
          <w:rFonts w:hint="eastAsia" w:ascii="仿宋_GB2312" w:hAnsi="仿宋_GB2312" w:eastAsia="仿宋_GB2312" w:cs="仿宋_GB2312"/>
          <w:spacing w:val="-5"/>
          <w:highlight w:val="none"/>
        </w:rPr>
      </w:pPr>
      <w:r>
        <w:rPr>
          <w:rFonts w:hint="eastAsia" w:ascii="仿宋_GB2312" w:hAnsi="仿宋_GB2312" w:eastAsia="仿宋_GB2312" w:cs="仿宋_GB2312"/>
          <w:spacing w:val="-5"/>
          <w:highlight w:val="none"/>
        </w:rPr>
        <w:t>在审阅所有集中带量采购文件后，我方决定按照采购文件的规定参与</w:t>
      </w:r>
      <w:r>
        <w:rPr>
          <w:rFonts w:hint="eastAsia" w:ascii="仿宋_GB2312" w:hAnsi="仿宋_GB2312" w:eastAsia="仿宋_GB2312" w:cs="仿宋_GB2312"/>
          <w:spacing w:val="-5"/>
          <w:highlight w:val="none"/>
          <w:lang w:eastAsia="zh-CN"/>
        </w:rPr>
        <w:t>一次性使用阴道扩张器</w:t>
      </w:r>
      <w:r>
        <w:rPr>
          <w:rFonts w:hint="eastAsia" w:ascii="仿宋_GB2312" w:hAnsi="仿宋_GB2312" w:eastAsia="仿宋_GB2312" w:cs="仿宋_GB2312"/>
          <w:spacing w:val="-5"/>
          <w:highlight w:val="none"/>
        </w:rPr>
        <w:t>全省性联盟集中带量采购工作。我方保证申报价格及所提供全部证明材料的真实性、合法性、有效性。我方完全理解并遵守采购文件中的中选产品确认准则。</w:t>
      </w:r>
    </w:p>
    <w:p>
      <w:pPr>
        <w:pStyle w:val="8"/>
        <w:keepNext w:val="0"/>
        <w:keepLines w:val="0"/>
        <w:pageBreakBefore w:val="0"/>
        <w:kinsoku/>
        <w:wordWrap/>
        <w:overflowPunct/>
        <w:topLinePunct w:val="0"/>
        <w:bidi w:val="0"/>
        <w:adjustRightInd/>
        <w:snapToGrid/>
        <w:spacing w:before="0" w:line="560" w:lineRule="exact"/>
        <w:ind w:left="0" w:right="0" w:rightChars="0" w:firstLine="640"/>
        <w:textAlignment w:val="auto"/>
        <w:rPr>
          <w:rFonts w:hint="eastAsia" w:ascii="仿宋_GB2312" w:hAnsi="仿宋_GB2312" w:eastAsia="仿宋_GB2312" w:cs="仿宋_GB2312"/>
          <w:spacing w:val="-5"/>
          <w:highlight w:val="none"/>
        </w:rPr>
      </w:pPr>
      <w:r>
        <w:rPr>
          <w:rFonts w:hint="eastAsia" w:ascii="仿宋_GB2312" w:hAnsi="仿宋_GB2312" w:eastAsia="仿宋_GB2312" w:cs="仿宋_GB2312"/>
          <w:spacing w:val="-5"/>
          <w:highlight w:val="none"/>
        </w:rPr>
        <w:t>我方已充分考虑到原材料价格等因素，并以此申报价格。如果我方医用耗材中选，我方将按照采购方的要求供应中选医用耗材，确保中选医用耗材的价格、质量和数量等一切要素按照购销合同履行。</w:t>
      </w:r>
    </w:p>
    <w:p>
      <w:pPr>
        <w:pStyle w:val="8"/>
        <w:keepNext w:val="0"/>
        <w:keepLines w:val="0"/>
        <w:pageBreakBefore w:val="0"/>
        <w:kinsoku/>
        <w:wordWrap/>
        <w:overflowPunct/>
        <w:topLinePunct w:val="0"/>
        <w:bidi w:val="0"/>
        <w:adjustRightInd/>
        <w:snapToGrid/>
        <w:spacing w:before="0" w:line="560" w:lineRule="exact"/>
        <w:ind w:left="0" w:right="0" w:rightChars="0" w:firstLine="640"/>
        <w:textAlignment w:val="auto"/>
        <w:rPr>
          <w:rFonts w:hint="eastAsia" w:ascii="仿宋_GB2312" w:hAnsi="仿宋_GB2312" w:eastAsia="仿宋_GB2312" w:cs="仿宋_GB2312"/>
          <w:spacing w:val="-5"/>
          <w:highlight w:val="none"/>
        </w:rPr>
      </w:pPr>
      <w:r>
        <w:rPr>
          <w:rFonts w:hint="eastAsia" w:ascii="仿宋_GB2312" w:hAnsi="仿宋_GB2312" w:eastAsia="仿宋_GB2312" w:cs="仿宋_GB2312"/>
          <w:spacing w:val="-5"/>
          <w:highlight w:val="none"/>
        </w:rPr>
        <w:t>我方承诺同采购机构没有利益关系，不会为达成此项目同采购方进行任何不正当联系，不会在申报过程中有任何违法违规行为。</w:t>
      </w:r>
    </w:p>
    <w:p>
      <w:pPr>
        <w:pStyle w:val="8"/>
        <w:keepNext w:val="0"/>
        <w:keepLines w:val="0"/>
        <w:pageBreakBefore w:val="0"/>
        <w:kinsoku/>
        <w:wordWrap/>
        <w:overflowPunct/>
        <w:topLinePunct w:val="0"/>
        <w:bidi w:val="0"/>
        <w:spacing w:before="0" w:line="560" w:lineRule="exact"/>
        <w:ind w:left="0" w:right="0" w:rightChars="0"/>
        <w:jc w:val="both"/>
        <w:rPr>
          <w:rFonts w:hint="eastAsia" w:ascii="仿宋_GB2312" w:hAnsi="仿宋_GB2312" w:eastAsia="仿宋_GB2312" w:cs="仿宋_GB2312"/>
          <w:highlight w:val="none"/>
        </w:rPr>
      </w:pPr>
    </w:p>
    <w:p>
      <w:pPr>
        <w:pStyle w:val="8"/>
        <w:keepNext w:val="0"/>
        <w:keepLines w:val="0"/>
        <w:pageBreakBefore w:val="0"/>
        <w:kinsoku/>
        <w:wordWrap/>
        <w:overflowPunct/>
        <w:topLinePunct w:val="0"/>
        <w:bidi w:val="0"/>
        <w:spacing w:before="0" w:line="560" w:lineRule="exact"/>
        <w:ind w:left="0" w:right="0" w:rightChars="0"/>
        <w:jc w:val="both"/>
        <w:rPr>
          <w:rFonts w:hint="eastAsia" w:ascii="仿宋_GB2312" w:hAnsi="仿宋_GB2312" w:eastAsia="仿宋_GB2312" w:cs="仿宋_GB2312"/>
          <w:highlight w:val="none"/>
        </w:rPr>
      </w:pPr>
    </w:p>
    <w:p>
      <w:pPr>
        <w:pStyle w:val="8"/>
        <w:keepNext w:val="0"/>
        <w:keepLines w:val="0"/>
        <w:pageBreakBefore w:val="0"/>
        <w:kinsoku/>
        <w:wordWrap/>
        <w:overflowPunct/>
        <w:topLinePunct w:val="0"/>
        <w:bidi w:val="0"/>
        <w:spacing w:before="0" w:line="560" w:lineRule="exact"/>
        <w:ind w:left="0" w:right="0" w:rightChars="0"/>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                            申报企业（盖章）：</w:t>
      </w:r>
    </w:p>
    <w:p>
      <w:pPr>
        <w:pStyle w:val="8"/>
        <w:keepNext w:val="0"/>
        <w:keepLines w:val="0"/>
        <w:pageBreakBefore w:val="0"/>
        <w:kinsoku/>
        <w:wordWrap/>
        <w:overflowPunct/>
        <w:topLinePunct w:val="0"/>
        <w:bidi w:val="0"/>
        <w:spacing w:before="0" w:line="560" w:lineRule="exact"/>
        <w:ind w:left="0" w:right="0" w:rightChars="0"/>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                         </w:t>
      </w:r>
      <w:r>
        <w:rPr>
          <w:rFonts w:hint="default" w:ascii="仿宋_GB2312" w:hAnsi="仿宋_GB2312" w:eastAsia="仿宋_GB2312" w:cs="仿宋_GB2312"/>
          <w:highlight w:val="none"/>
          <w:lang w:val="en-US"/>
        </w:rPr>
        <w:t xml:space="preserve">   </w:t>
      </w:r>
      <w:r>
        <w:rPr>
          <w:rFonts w:hint="eastAsia" w:ascii="仿宋_GB2312" w:hAnsi="仿宋_GB2312" w:eastAsia="仿宋_GB2312" w:cs="仿宋_GB2312"/>
          <w:highlight w:val="none"/>
        </w:rPr>
        <w:t>日期：</w:t>
      </w:r>
    </w:p>
    <w:p>
      <w:pPr>
        <w:spacing w:before="0"/>
        <w:ind w:left="0" w:right="0" w:firstLine="0"/>
        <w:jc w:val="left"/>
        <w:rPr>
          <w:rFonts w:hint="eastAsia" w:ascii="黑体" w:eastAsia="黑体"/>
          <w:sz w:val="30"/>
          <w:highlight w:val="none"/>
        </w:rPr>
      </w:pPr>
      <w:bookmarkStart w:id="212" w:name="附件3"/>
      <w:bookmarkEnd w:id="212"/>
      <w:r>
        <w:rPr>
          <w:rFonts w:hint="eastAsia" w:ascii="黑体" w:eastAsia="黑体"/>
          <w:sz w:val="30"/>
          <w:highlight w:val="none"/>
        </w:rPr>
        <w:br w:type="page"/>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jc w:val="both"/>
        <w:textAlignment w:val="baseline"/>
        <w:rPr>
          <w:rFonts w:hint="eastAsia" w:ascii="黑体" w:hAnsi="黑体" w:eastAsia="黑体" w:cs="黑体"/>
          <w:snapToGrid w:val="0"/>
          <w:color w:val="auto"/>
          <w:kern w:val="0"/>
          <w:sz w:val="32"/>
          <w:szCs w:val="32"/>
          <w:highlight w:val="none"/>
          <w:lang w:val="en-US" w:eastAsia="zh-CN"/>
        </w:rPr>
      </w:pPr>
      <w:bookmarkStart w:id="213" w:name="_Toc1746680703"/>
      <w:bookmarkStart w:id="214" w:name="_Toc954574065"/>
      <w:bookmarkStart w:id="215" w:name="_Toc1957755763"/>
      <w:r>
        <w:rPr>
          <w:rFonts w:hint="eastAsia" w:ascii="黑体" w:hAnsi="黑体" w:eastAsia="黑体" w:cs="黑体"/>
          <w:snapToGrid w:val="0"/>
          <w:color w:val="auto"/>
          <w:kern w:val="0"/>
          <w:sz w:val="32"/>
          <w:szCs w:val="32"/>
          <w:highlight w:val="none"/>
          <w:lang w:val="en-US" w:eastAsia="zh-CN"/>
        </w:rPr>
        <w:t>附件4</w:t>
      </w:r>
      <w:bookmarkEnd w:id="213"/>
      <w:bookmarkEnd w:id="214"/>
      <w:bookmarkEnd w:id="215"/>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jc w:val="both"/>
        <w:textAlignment w:val="baseline"/>
        <w:rPr>
          <w:rFonts w:hint="eastAsia" w:ascii="Times New Roman" w:hAnsi="Arial" w:eastAsia="仿宋_GB2312" w:cs="Arial"/>
          <w:snapToGrid w:val="0"/>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0"/>
          <w:sz w:val="32"/>
          <w:szCs w:val="32"/>
          <w:highlight w:val="none"/>
          <w:lang w:val="en-US" w:eastAsia="zh-CN" w:bidi="ar"/>
        </w:rPr>
      </w:pPr>
      <w:bookmarkStart w:id="216" w:name="医用耗材省级集中带量采购申报企业承诺函"/>
      <w:bookmarkEnd w:id="216"/>
      <w:bookmarkStart w:id="217" w:name="_Toc782420697"/>
      <w:bookmarkStart w:id="218" w:name="_Toc2138333503"/>
      <w:r>
        <w:rPr>
          <w:rFonts w:hint="eastAsia" w:ascii="方正小标宋简体" w:hAnsi="方正小标宋简体" w:eastAsia="方正小标宋简体" w:cs="方正小标宋简体"/>
          <w:b w:val="0"/>
          <w:bCs w:val="0"/>
          <w:sz w:val="32"/>
          <w:szCs w:val="32"/>
          <w:highlight w:val="none"/>
          <w:lang w:val="en-US" w:eastAsia="zh-CN"/>
        </w:rPr>
        <w:t>一次性使用阴道扩张器</w:t>
      </w:r>
      <w:r>
        <w:rPr>
          <w:rFonts w:hint="eastAsia" w:ascii="方正小标宋简体" w:hAnsi="方正小标宋简体" w:eastAsia="方正小标宋简体" w:cs="方正小标宋简体"/>
          <w:color w:val="000000"/>
          <w:kern w:val="0"/>
          <w:sz w:val="32"/>
          <w:szCs w:val="32"/>
          <w:highlight w:val="none"/>
          <w:lang w:val="en-US" w:eastAsia="zh-CN" w:bidi="ar"/>
        </w:rPr>
        <w:t>全省性联盟集中带量采购</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0"/>
          <w:sz w:val="32"/>
          <w:szCs w:val="32"/>
          <w:highlight w:val="none"/>
          <w:lang w:val="en-US" w:eastAsia="zh-CN" w:bidi="ar"/>
        </w:rPr>
      </w:pPr>
      <w:r>
        <w:rPr>
          <w:rFonts w:hint="eastAsia" w:ascii="方正小标宋简体" w:hAnsi="方正小标宋简体" w:eastAsia="方正小标宋简体" w:cs="方正小标宋简体"/>
          <w:color w:val="000000"/>
          <w:kern w:val="0"/>
          <w:sz w:val="32"/>
          <w:szCs w:val="32"/>
          <w:highlight w:val="none"/>
          <w:lang w:val="en-US" w:eastAsia="zh-CN" w:bidi="ar"/>
        </w:rPr>
        <w:t>申报企业承诺函</w:t>
      </w:r>
    </w:p>
    <w:p>
      <w:pPr>
        <w:pStyle w:val="8"/>
        <w:keepNext w:val="0"/>
        <w:keepLines w:val="0"/>
        <w:pageBreakBefore w:val="0"/>
        <w:kinsoku/>
        <w:wordWrap/>
        <w:overflowPunct/>
        <w:topLinePunct w:val="0"/>
        <w:bidi w:val="0"/>
        <w:adjustRightInd w:val="0"/>
        <w:snapToGrid/>
        <w:spacing w:before="0" w:line="580" w:lineRule="exact"/>
        <w:ind w:left="0" w:right="0" w:rightChars="0"/>
        <w:jc w:val="center"/>
        <w:textAlignment w:val="auto"/>
        <w:rPr>
          <w:rFonts w:hint="eastAsia" w:ascii="黑体" w:hAnsi="黑体" w:eastAsia="黑体" w:cs="黑体"/>
          <w:sz w:val="32"/>
          <w:highlight w:val="none"/>
        </w:rPr>
      </w:pPr>
    </w:p>
    <w:bookmarkEnd w:id="217"/>
    <w:bookmarkEnd w:id="218"/>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both"/>
        <w:textAlignment w:val="auto"/>
        <w:rPr>
          <w:rFonts w:hint="eastAsia" w:ascii="仿宋_GB2312" w:hAnsi="仿宋_GB2312" w:eastAsia="仿宋_GB2312" w:cs="仿宋_GB2312"/>
          <w:b w:val="0"/>
          <w:bCs w:val="0"/>
          <w:i w:val="0"/>
          <w:caps w:val="0"/>
          <w:color w:val="333333"/>
          <w:spacing w:val="-11"/>
          <w:kern w:val="0"/>
          <w:sz w:val="32"/>
          <w:szCs w:val="32"/>
          <w:highlight w:val="none"/>
          <w:shd w:val="clear" w:color="auto" w:fill="FFFFFF"/>
          <w:lang w:val="en-US" w:eastAsia="zh-CN" w:bidi="ar"/>
        </w:rPr>
      </w:pPr>
      <w:r>
        <w:rPr>
          <w:rFonts w:hint="eastAsia" w:ascii="仿宋_GB2312" w:hAnsi="仿宋_GB2312" w:eastAsia="仿宋_GB2312" w:cs="仿宋_GB2312"/>
          <w:spacing w:val="-11"/>
          <w:sz w:val="32"/>
          <w:szCs w:val="32"/>
          <w:highlight w:val="none"/>
          <w:lang w:val="en-US" w:eastAsia="zh-CN" w:bidi="ar-SA"/>
        </w:rPr>
        <w:t>一次性使用阴道扩张器全省性联盟集采领导小组办公室</w:t>
      </w:r>
      <w:r>
        <w:rPr>
          <w:rFonts w:hint="eastAsia" w:ascii="仿宋_GB2312" w:hAnsi="仿宋_GB2312" w:eastAsia="仿宋_GB2312" w:cs="仿宋_GB2312"/>
          <w:b w:val="0"/>
          <w:bCs w:val="0"/>
          <w:i w:val="0"/>
          <w:caps w:val="0"/>
          <w:color w:val="333333"/>
          <w:spacing w:val="-11"/>
          <w:kern w:val="0"/>
          <w:sz w:val="32"/>
          <w:szCs w:val="32"/>
          <w:highlight w:val="none"/>
          <w:shd w:val="clear" w:color="auto" w:fill="FFFFFF"/>
          <w:lang w:val="en-US" w:eastAsia="zh-CN" w:bidi="ar"/>
        </w:rPr>
        <w:t>：</w:t>
      </w:r>
    </w:p>
    <w:p>
      <w:pPr>
        <w:pStyle w:val="8"/>
        <w:keepNext w:val="0"/>
        <w:keepLines w:val="0"/>
        <w:pageBreakBefore w:val="0"/>
        <w:kinsoku/>
        <w:wordWrap/>
        <w:overflowPunct/>
        <w:topLinePunct w:val="0"/>
        <w:bidi w:val="0"/>
        <w:adjustRightInd/>
        <w:snapToGrid/>
        <w:spacing w:before="0" w:line="580" w:lineRule="exact"/>
        <w:ind w:left="0" w:right="0" w:rightChars="0" w:firstLine="640"/>
        <w:textAlignment w:val="auto"/>
        <w:rPr>
          <w:rFonts w:hint="eastAsia" w:ascii="仿宋_GB2312" w:hAnsi="仿宋_GB2312" w:eastAsia="仿宋_GB2312" w:cs="仿宋_GB2312"/>
          <w:spacing w:val="-5"/>
          <w:highlight w:val="none"/>
        </w:rPr>
      </w:pPr>
      <w:r>
        <w:rPr>
          <w:rFonts w:hint="eastAsia" w:ascii="仿宋_GB2312" w:hAnsi="仿宋_GB2312" w:eastAsia="仿宋_GB2312" w:cs="仿宋_GB2312"/>
          <w:spacing w:val="-5"/>
          <w:highlight w:val="none"/>
        </w:rPr>
        <w:t>依据《</w:t>
      </w:r>
      <w:r>
        <w:rPr>
          <w:rFonts w:hint="eastAsia" w:ascii="仿宋_GB2312" w:hAnsi="仿宋_GB2312" w:eastAsia="仿宋_GB2312" w:cs="仿宋_GB2312"/>
          <w:spacing w:val="-5"/>
          <w:highlight w:val="none"/>
          <w:lang w:val="en-US" w:eastAsia="zh-CN"/>
        </w:rPr>
        <w:t>一次性使用阴道扩张器全省性联盟</w:t>
      </w:r>
      <w:r>
        <w:rPr>
          <w:rFonts w:hint="eastAsia" w:ascii="仿宋_GB2312" w:hAnsi="仿宋_GB2312" w:eastAsia="仿宋_GB2312" w:cs="仿宋_GB2312"/>
          <w:spacing w:val="-5"/>
          <w:highlight w:val="none"/>
        </w:rPr>
        <w:t>集中带量采购文件》，我方承诺确保在采购周期内满足中选医用耗材协议采购量需求，具有履行合同必须具备的医用耗材供应能力，并对医用耗材的质量和供应负责。一旦中选，将及时、足量按要求组织生产，并向配送企业发送医用耗材，满足医疗机构临床需求。</w:t>
      </w:r>
    </w:p>
    <w:p>
      <w:pPr>
        <w:pStyle w:val="8"/>
        <w:keepNext w:val="0"/>
        <w:keepLines w:val="0"/>
        <w:pageBreakBefore w:val="0"/>
        <w:kinsoku/>
        <w:wordWrap/>
        <w:overflowPunct/>
        <w:topLinePunct w:val="0"/>
        <w:bidi w:val="0"/>
        <w:adjustRightInd/>
        <w:snapToGrid/>
        <w:spacing w:before="0" w:line="580" w:lineRule="exact"/>
        <w:ind w:left="0" w:right="0" w:rightChars="0" w:firstLine="640"/>
        <w:textAlignment w:val="auto"/>
        <w:rPr>
          <w:rFonts w:hint="eastAsia" w:ascii="仿宋_GB2312" w:hAnsi="仿宋_GB2312" w:eastAsia="仿宋_GB2312" w:cs="仿宋_GB2312"/>
          <w:spacing w:val="-5"/>
          <w:highlight w:val="none"/>
          <w:lang w:val="en-US" w:eastAsia="zh-CN"/>
        </w:rPr>
      </w:pPr>
      <w:r>
        <w:rPr>
          <w:rFonts w:hint="eastAsia" w:ascii="仿宋_GB2312" w:hAnsi="仿宋_GB2312" w:eastAsia="仿宋_GB2312" w:cs="仿宋_GB2312"/>
          <w:spacing w:val="-5"/>
          <w:highlight w:val="none"/>
        </w:rPr>
        <w:t>我方承诺申报价不低于本企业产品成本价，</w:t>
      </w:r>
      <w:r>
        <w:rPr>
          <w:rFonts w:hint="eastAsia" w:ascii="仿宋_GB2312" w:hAnsi="仿宋_GB2312" w:eastAsia="仿宋_GB2312" w:cs="仿宋_GB2312"/>
          <w:spacing w:val="-5"/>
          <w:highlight w:val="none"/>
          <w:lang w:val="en-US" w:eastAsia="zh-CN"/>
        </w:rPr>
        <w:t>不高于本企业全国现行有效最低省级挂网价、参与一次性使用阴道扩张器全省性联盟集中带量采购各地市医疗机构填报</w:t>
      </w:r>
      <w:r>
        <w:rPr>
          <w:rFonts w:hint="eastAsia" w:ascii="仿宋_GB2312" w:hAnsi="仿宋_GB2312" w:eastAsia="仿宋_GB2312" w:cs="仿宋_GB2312"/>
          <w:spacing w:val="-5"/>
          <w:highlight w:val="none"/>
        </w:rPr>
        <w:t>的</w:t>
      </w:r>
      <w:r>
        <w:rPr>
          <w:rFonts w:hint="eastAsia" w:ascii="仿宋_GB2312" w:hAnsi="仿宋_GB2312" w:eastAsia="仿宋_GB2312" w:cs="仿宋_GB2312"/>
          <w:spacing w:val="-5"/>
          <w:highlight w:val="none"/>
          <w:lang w:val="en-US" w:eastAsia="zh-CN"/>
        </w:rPr>
        <w:t>最低采购</w:t>
      </w:r>
      <w:r>
        <w:rPr>
          <w:rFonts w:hint="eastAsia" w:ascii="仿宋_GB2312" w:hAnsi="仿宋_GB2312" w:eastAsia="仿宋_GB2312" w:cs="仿宋_GB2312"/>
          <w:spacing w:val="-5"/>
          <w:highlight w:val="none"/>
        </w:rPr>
        <w:t>价格</w:t>
      </w:r>
      <w:r>
        <w:rPr>
          <w:rFonts w:hint="eastAsia" w:ascii="仿宋_GB2312" w:hAnsi="仿宋_GB2312" w:eastAsia="仿宋_GB2312" w:cs="仿宋_GB2312"/>
          <w:spacing w:val="-5"/>
          <w:highlight w:val="none"/>
          <w:lang w:val="en-US" w:eastAsia="zh-CN"/>
        </w:rPr>
        <w:t>、地市级（含联盟）及以上集中采购（含带量采购）价格。</w:t>
      </w:r>
    </w:p>
    <w:p>
      <w:pPr>
        <w:pStyle w:val="8"/>
        <w:keepNext w:val="0"/>
        <w:keepLines w:val="0"/>
        <w:pageBreakBefore w:val="0"/>
        <w:kinsoku/>
        <w:wordWrap/>
        <w:overflowPunct/>
        <w:topLinePunct w:val="0"/>
        <w:bidi w:val="0"/>
        <w:adjustRightInd/>
        <w:snapToGrid/>
        <w:spacing w:before="0" w:line="580" w:lineRule="exact"/>
        <w:ind w:left="0" w:right="0" w:rightChars="0" w:firstLine="640"/>
        <w:textAlignment w:val="auto"/>
        <w:rPr>
          <w:highlight w:val="none"/>
        </w:rPr>
      </w:pPr>
      <w:r>
        <w:rPr>
          <w:rFonts w:hint="eastAsia" w:ascii="仿宋_GB2312" w:hAnsi="仿宋_GB2312" w:eastAsia="仿宋_GB2312" w:cs="仿宋_GB2312"/>
          <w:spacing w:val="-5"/>
          <w:highlight w:val="none"/>
        </w:rPr>
        <w:t>我方承诺符合《</w:t>
      </w:r>
      <w:r>
        <w:rPr>
          <w:rFonts w:hint="eastAsia" w:ascii="仿宋_GB2312" w:hAnsi="仿宋_GB2312" w:eastAsia="仿宋_GB2312" w:cs="仿宋_GB2312"/>
          <w:spacing w:val="-5"/>
          <w:highlight w:val="none"/>
          <w:lang w:val="en-US" w:eastAsia="zh-CN"/>
        </w:rPr>
        <w:t>一次性使用阴道扩张器全省性联盟</w:t>
      </w:r>
      <w:r>
        <w:rPr>
          <w:rFonts w:hint="eastAsia" w:ascii="仿宋_GB2312" w:hAnsi="仿宋_GB2312" w:eastAsia="仿宋_GB2312" w:cs="仿宋_GB2312"/>
          <w:spacing w:val="-5"/>
          <w:highlight w:val="none"/>
        </w:rPr>
        <w:t>集中带量采购文件》申报资格的相关要求。</w:t>
      </w:r>
    </w:p>
    <w:p>
      <w:pPr>
        <w:pStyle w:val="8"/>
        <w:keepNext w:val="0"/>
        <w:keepLines w:val="0"/>
        <w:pageBreakBefore w:val="0"/>
        <w:kinsoku/>
        <w:wordWrap/>
        <w:overflowPunct/>
        <w:topLinePunct w:val="0"/>
        <w:bidi w:val="0"/>
        <w:snapToGrid/>
        <w:spacing w:before="0" w:line="580" w:lineRule="exact"/>
        <w:ind w:left="0" w:right="0" w:rightChars="0"/>
        <w:textAlignment w:val="auto"/>
        <w:rPr>
          <w:highlight w:val="none"/>
        </w:rPr>
      </w:pPr>
    </w:p>
    <w:p>
      <w:pPr>
        <w:pStyle w:val="8"/>
        <w:keepNext w:val="0"/>
        <w:keepLines w:val="0"/>
        <w:pageBreakBefore w:val="0"/>
        <w:kinsoku/>
        <w:wordWrap/>
        <w:overflowPunct/>
        <w:topLinePunct w:val="0"/>
        <w:bidi w:val="0"/>
        <w:snapToGrid/>
        <w:spacing w:before="0" w:line="580" w:lineRule="exact"/>
        <w:ind w:left="0" w:right="0" w:rightChars="0"/>
        <w:textAlignment w:val="auto"/>
        <w:rPr>
          <w:sz w:val="26"/>
          <w:highlight w:val="none"/>
        </w:rPr>
      </w:pPr>
    </w:p>
    <w:p>
      <w:pPr>
        <w:pStyle w:val="8"/>
        <w:keepNext w:val="0"/>
        <w:keepLines w:val="0"/>
        <w:pageBreakBefore w:val="0"/>
        <w:kinsoku/>
        <w:wordWrap/>
        <w:overflowPunct/>
        <w:topLinePunct w:val="0"/>
        <w:bidi w:val="0"/>
        <w:snapToGrid/>
        <w:spacing w:before="0" w:line="580" w:lineRule="exact"/>
        <w:ind w:left="0" w:right="0" w:rightChars="0"/>
        <w:jc w:val="both"/>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 </w:t>
      </w:r>
      <w:r>
        <w:rPr>
          <w:rFonts w:hint="default" w:ascii="仿宋_GB2312" w:hAnsi="仿宋_GB2312" w:eastAsia="仿宋_GB2312" w:cs="仿宋_GB2312"/>
          <w:highlight w:val="none"/>
          <w:lang w:val="en-US"/>
        </w:rPr>
        <w:t xml:space="preserve">                           </w:t>
      </w:r>
      <w:r>
        <w:rPr>
          <w:rFonts w:hint="eastAsia" w:ascii="仿宋_GB2312" w:hAnsi="仿宋_GB2312" w:eastAsia="仿宋_GB2312" w:cs="仿宋_GB2312"/>
          <w:highlight w:val="none"/>
        </w:rPr>
        <w:t>申报企业（盖章）：</w:t>
      </w:r>
    </w:p>
    <w:p>
      <w:pPr>
        <w:pStyle w:val="8"/>
        <w:keepNext w:val="0"/>
        <w:keepLines w:val="0"/>
        <w:pageBreakBefore w:val="0"/>
        <w:kinsoku/>
        <w:wordWrap/>
        <w:overflowPunct/>
        <w:topLinePunct w:val="0"/>
        <w:bidi w:val="0"/>
        <w:snapToGrid/>
        <w:spacing w:before="0" w:line="580" w:lineRule="exact"/>
        <w:ind w:left="0" w:right="0" w:rightChars="0"/>
        <w:jc w:val="both"/>
        <w:textAlignment w:val="auto"/>
        <w:rPr>
          <w:rFonts w:hint="eastAsia" w:ascii="黑体" w:eastAsia="黑体"/>
          <w:sz w:val="30"/>
          <w:highlight w:val="none"/>
          <w:lang w:val="en-US" w:eastAsia="zh-CN"/>
        </w:rPr>
      </w:pPr>
      <w:r>
        <w:rPr>
          <w:rFonts w:hint="eastAsia" w:ascii="仿宋_GB2312" w:hAnsi="仿宋_GB2312" w:eastAsia="仿宋_GB2312" w:cs="仿宋_GB2312"/>
          <w:highlight w:val="none"/>
        </w:rPr>
        <w:t xml:space="preserve">                         </w:t>
      </w:r>
      <w:r>
        <w:rPr>
          <w:rFonts w:hint="default" w:ascii="仿宋_GB2312" w:hAnsi="仿宋_GB2312" w:eastAsia="仿宋_GB2312" w:cs="仿宋_GB2312"/>
          <w:highlight w:val="none"/>
          <w:lang w:val="en-US"/>
        </w:rPr>
        <w:t xml:space="preserve">   </w:t>
      </w:r>
      <w:r>
        <w:rPr>
          <w:rFonts w:hint="eastAsia" w:ascii="仿宋_GB2312" w:hAnsi="仿宋_GB2312" w:eastAsia="仿宋_GB2312" w:cs="仿宋_GB2312"/>
          <w:highlight w:val="none"/>
        </w:rPr>
        <w:t>日期：</w:t>
      </w:r>
    </w:p>
    <w:sectPr>
      <w:footerReference r:id="rId10" w:type="default"/>
      <w:pgSz w:w="11910" w:h="16840"/>
      <w:pgMar w:top="2098" w:right="1474" w:bottom="1984" w:left="1587" w:header="1145" w:footer="1276"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503050405090304"/>
    <w:charset w:val="CC"/>
    <w:family w:val="roman"/>
    <w:pitch w:val="default"/>
    <w:sig w:usb0="00000000" w:usb1="00000000" w:usb2="00000001" w:usb3="00000000" w:csb0="400001BF" w:csb1="DFF7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00"/>
    <w:family w:val="script"/>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楷体_GB2312">
    <w:altName w:val="方正楷体_GBK"/>
    <w:panose1 w:val="02010609030101010101"/>
    <w:charset w:val="86"/>
    <w:family w:val="auto"/>
    <w:pitch w:val="default"/>
    <w:sig w:usb0="00000000" w:usb1="00000000" w:usb2="00000000" w:usb3="00000000" w:csb0="00040000" w:csb1="00000000"/>
  </w:font>
  <w:font w:name="东文宋体">
    <w:altName w:val="方正书宋_GBK"/>
    <w:panose1 w:val="00000000000000000000"/>
    <w:charset w:val="00"/>
    <w:family w:val="auto"/>
    <w:pitch w:val="default"/>
    <w:sig w:usb0="00000000" w:usb1="00000000" w:usb2="00000000" w:usb3="00000000" w:csb0="00040001" w:csb1="00000000"/>
  </w:font>
  <w:font w:name="FangSong">
    <w:altName w:val="方正仿宋_GBK"/>
    <w:panose1 w:val="02010609060101010101"/>
    <w:charset w:val="86"/>
    <w:family w:val="auto"/>
    <w:pitch w:val="default"/>
    <w:sig w:usb0="00000000" w:usb1="00000000" w:usb2="00000016" w:usb3="00000000" w:csb0="00040001" w:csb1="00000000"/>
  </w:font>
  <w:font w:name="Cambria Math">
    <w:altName w:val="DejaVu Math TeX Gyre"/>
    <w:panose1 w:val="02040503050406030204"/>
    <w:charset w:val="00"/>
    <w:family w:val="auto"/>
    <w:pitch w:val="default"/>
    <w:sig w:usb0="00000000" w:usb1="00000000"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3w8JMg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&#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JbfDwkyAgAAYwQAAA4AAAAAAAAAAQAgAAAA&#10;NQEAAGRycy9lMm9Eb2MueG1sUEsFBgAAAAAGAAYAWQEAANkFA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Icbi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BEhxuIyAgAAYwQAAA4AAAAAAAAAAQAgAAAA&#10;NQEAAGRycy9lMm9Eb2MueG1sUEsFBgAAAAAGAAYAWQEAANkFA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916"/>
        <w:tab w:val="clear" w:pos="4153"/>
      </w:tabs>
      <w:rPr>
        <w:rFonts w:hint="eastAsia" w:eastAsia="仿宋"/>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iVENMw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TiVENMwIAAGMEAAAOAAAAAAAAAAEAIAAA&#10;ADUBAABkcnMvZTJvRG9jLnhtbFBLBQYAAAAABgAGAFkBAADa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2iTuMw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e2iTuMwIAAGMEAAAOAAAAAAAAAAEAIAAA&#10;ADUBAABkcnMvZTJvRG9jLnhtbFBLBQYAAAAABgAGAFkBAADa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crMBMwIAAGMEAAAOAAAAZHJz&#10;L2Uyb0RvYy54bWytVEuOEzEQ3SNxB8t70knQ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AccrMBMwIAAGMEAAAOAAAAAAAAAAEAIAAA&#10;ADUBAABkcnMvZTJvRG9jLnhtbFBLBQYAAAAABgAGAFkBAADa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20" w:lineRule="exact"/>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69EE8"/>
    <w:multiLevelType w:val="singleLevel"/>
    <w:tmpl w:val="BA269EE8"/>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35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Yzg2YmMwMjI5M2ZlODk2ZWRiNTBhMGRhZmE0NWQifQ=="/>
  </w:docVars>
  <w:rsids>
    <w:rsidRoot w:val="00172A27"/>
    <w:rsid w:val="0021763F"/>
    <w:rsid w:val="00483F46"/>
    <w:rsid w:val="00960DAA"/>
    <w:rsid w:val="025349D4"/>
    <w:rsid w:val="02DA4630"/>
    <w:rsid w:val="03CE5E40"/>
    <w:rsid w:val="03EA5EB5"/>
    <w:rsid w:val="041765F6"/>
    <w:rsid w:val="043C7BFA"/>
    <w:rsid w:val="04594188"/>
    <w:rsid w:val="04733474"/>
    <w:rsid w:val="055C2923"/>
    <w:rsid w:val="05F4DA7C"/>
    <w:rsid w:val="077B5721"/>
    <w:rsid w:val="07BE4F06"/>
    <w:rsid w:val="07D44582"/>
    <w:rsid w:val="07D780DA"/>
    <w:rsid w:val="07E64349"/>
    <w:rsid w:val="07F73309"/>
    <w:rsid w:val="08415F5A"/>
    <w:rsid w:val="08BA4358"/>
    <w:rsid w:val="094660AA"/>
    <w:rsid w:val="097A600B"/>
    <w:rsid w:val="09EA1793"/>
    <w:rsid w:val="09FB3458"/>
    <w:rsid w:val="0AFE3438"/>
    <w:rsid w:val="0B3163FD"/>
    <w:rsid w:val="0B6E6353"/>
    <w:rsid w:val="0BBB5F37"/>
    <w:rsid w:val="0BE17F66"/>
    <w:rsid w:val="0BF02706"/>
    <w:rsid w:val="0C1A2976"/>
    <w:rsid w:val="0C5A2645"/>
    <w:rsid w:val="0DA15453"/>
    <w:rsid w:val="0DA9547F"/>
    <w:rsid w:val="0DCD3D24"/>
    <w:rsid w:val="0FFFAE15"/>
    <w:rsid w:val="111C3947"/>
    <w:rsid w:val="11320D1D"/>
    <w:rsid w:val="114C5666"/>
    <w:rsid w:val="11DF4B9E"/>
    <w:rsid w:val="12804444"/>
    <w:rsid w:val="12883B5F"/>
    <w:rsid w:val="13FF66D3"/>
    <w:rsid w:val="14C2473C"/>
    <w:rsid w:val="14C8078D"/>
    <w:rsid w:val="15EF0654"/>
    <w:rsid w:val="16757374"/>
    <w:rsid w:val="167B7057"/>
    <w:rsid w:val="167E3C54"/>
    <w:rsid w:val="16C32FBA"/>
    <w:rsid w:val="16CC5A6A"/>
    <w:rsid w:val="17855AC3"/>
    <w:rsid w:val="179C1565"/>
    <w:rsid w:val="17CE1FF2"/>
    <w:rsid w:val="17FE00E2"/>
    <w:rsid w:val="18005E60"/>
    <w:rsid w:val="181001B1"/>
    <w:rsid w:val="1810690F"/>
    <w:rsid w:val="1886047D"/>
    <w:rsid w:val="18AB766B"/>
    <w:rsid w:val="18BE567E"/>
    <w:rsid w:val="18E01421"/>
    <w:rsid w:val="19A1294D"/>
    <w:rsid w:val="1A8153A1"/>
    <w:rsid w:val="1AB73CA7"/>
    <w:rsid w:val="1AFC6CAF"/>
    <w:rsid w:val="1B18114F"/>
    <w:rsid w:val="1B40569F"/>
    <w:rsid w:val="1B7A674F"/>
    <w:rsid w:val="1B8074FC"/>
    <w:rsid w:val="1BCF0040"/>
    <w:rsid w:val="1BFC55C6"/>
    <w:rsid w:val="1C6934E8"/>
    <w:rsid w:val="1C7049AF"/>
    <w:rsid w:val="1D2F7108"/>
    <w:rsid w:val="1D55694A"/>
    <w:rsid w:val="1D9C7A62"/>
    <w:rsid w:val="1DFC5623"/>
    <w:rsid w:val="1E205195"/>
    <w:rsid w:val="1E4F7AE7"/>
    <w:rsid w:val="1EF79D01"/>
    <w:rsid w:val="1F1A2571"/>
    <w:rsid w:val="1F79C4BC"/>
    <w:rsid w:val="1F91414E"/>
    <w:rsid w:val="1FEF2B9D"/>
    <w:rsid w:val="208E1DD6"/>
    <w:rsid w:val="20B13D28"/>
    <w:rsid w:val="21701182"/>
    <w:rsid w:val="22C619F2"/>
    <w:rsid w:val="231C30DA"/>
    <w:rsid w:val="23B01473"/>
    <w:rsid w:val="24795484"/>
    <w:rsid w:val="248B5A96"/>
    <w:rsid w:val="249B03B5"/>
    <w:rsid w:val="24DB5769"/>
    <w:rsid w:val="251E6052"/>
    <w:rsid w:val="26770915"/>
    <w:rsid w:val="26CB595F"/>
    <w:rsid w:val="26E7A3BF"/>
    <w:rsid w:val="27B67149"/>
    <w:rsid w:val="27FDB9A8"/>
    <w:rsid w:val="2800441D"/>
    <w:rsid w:val="280A7BE3"/>
    <w:rsid w:val="282B72FB"/>
    <w:rsid w:val="286345FC"/>
    <w:rsid w:val="2884710B"/>
    <w:rsid w:val="28BF5E51"/>
    <w:rsid w:val="29110ED2"/>
    <w:rsid w:val="291C10EB"/>
    <w:rsid w:val="29305858"/>
    <w:rsid w:val="29B15C8D"/>
    <w:rsid w:val="2A7744A6"/>
    <w:rsid w:val="2AF4066A"/>
    <w:rsid w:val="2B6A0CD3"/>
    <w:rsid w:val="2B9BB047"/>
    <w:rsid w:val="2BF77AFB"/>
    <w:rsid w:val="2CD51061"/>
    <w:rsid w:val="2D0D7A89"/>
    <w:rsid w:val="2D6FB839"/>
    <w:rsid w:val="2DCC2270"/>
    <w:rsid w:val="2E374432"/>
    <w:rsid w:val="2E6F37C6"/>
    <w:rsid w:val="2EBBB8BD"/>
    <w:rsid w:val="2F3F68D0"/>
    <w:rsid w:val="2F710EFD"/>
    <w:rsid w:val="2F76D01E"/>
    <w:rsid w:val="30114E39"/>
    <w:rsid w:val="308C026A"/>
    <w:rsid w:val="30B378BB"/>
    <w:rsid w:val="30E03E72"/>
    <w:rsid w:val="3116203E"/>
    <w:rsid w:val="31A85B0B"/>
    <w:rsid w:val="32AF4795"/>
    <w:rsid w:val="32C97B66"/>
    <w:rsid w:val="331104A5"/>
    <w:rsid w:val="332C529E"/>
    <w:rsid w:val="349DB9E6"/>
    <w:rsid w:val="34B376B3"/>
    <w:rsid w:val="34B70304"/>
    <w:rsid w:val="34BB608F"/>
    <w:rsid w:val="35566ADF"/>
    <w:rsid w:val="358688FB"/>
    <w:rsid w:val="360C010F"/>
    <w:rsid w:val="36283F07"/>
    <w:rsid w:val="364D395A"/>
    <w:rsid w:val="36DF4A42"/>
    <w:rsid w:val="36E628F7"/>
    <w:rsid w:val="371D7AD5"/>
    <w:rsid w:val="372350DA"/>
    <w:rsid w:val="376965CF"/>
    <w:rsid w:val="37735062"/>
    <w:rsid w:val="37FD1F07"/>
    <w:rsid w:val="381676FD"/>
    <w:rsid w:val="38727347"/>
    <w:rsid w:val="38943123"/>
    <w:rsid w:val="39E75CF5"/>
    <w:rsid w:val="39FF7BE7"/>
    <w:rsid w:val="3A4220F5"/>
    <w:rsid w:val="3A493904"/>
    <w:rsid w:val="3A5E6008"/>
    <w:rsid w:val="3AF677E3"/>
    <w:rsid w:val="3B255741"/>
    <w:rsid w:val="3B570125"/>
    <w:rsid w:val="3B77702A"/>
    <w:rsid w:val="3BAF4289"/>
    <w:rsid w:val="3BEF1EB7"/>
    <w:rsid w:val="3BF761E4"/>
    <w:rsid w:val="3BFF42E4"/>
    <w:rsid w:val="3C03250B"/>
    <w:rsid w:val="3C252BA9"/>
    <w:rsid w:val="3C591875"/>
    <w:rsid w:val="3C8C62B5"/>
    <w:rsid w:val="3CB53E33"/>
    <w:rsid w:val="3D200C3D"/>
    <w:rsid w:val="3D9D244F"/>
    <w:rsid w:val="3DBD1D7D"/>
    <w:rsid w:val="3DDF489E"/>
    <w:rsid w:val="3DF7480E"/>
    <w:rsid w:val="3DFFE4F2"/>
    <w:rsid w:val="3E3B7A3E"/>
    <w:rsid w:val="3E7FB371"/>
    <w:rsid w:val="3E8EFBFC"/>
    <w:rsid w:val="3EBCF569"/>
    <w:rsid w:val="3ECA2FF0"/>
    <w:rsid w:val="3EFE8DDD"/>
    <w:rsid w:val="3F73643E"/>
    <w:rsid w:val="3F73F0D5"/>
    <w:rsid w:val="3F792B6D"/>
    <w:rsid w:val="3FB380C6"/>
    <w:rsid w:val="3FC986E2"/>
    <w:rsid w:val="3FCC64C9"/>
    <w:rsid w:val="3FDBBF8A"/>
    <w:rsid w:val="3FDEF9FA"/>
    <w:rsid w:val="3FEA6067"/>
    <w:rsid w:val="3FFB3592"/>
    <w:rsid w:val="403B13C4"/>
    <w:rsid w:val="40903039"/>
    <w:rsid w:val="40CA654D"/>
    <w:rsid w:val="412D164A"/>
    <w:rsid w:val="42030D94"/>
    <w:rsid w:val="42144EA3"/>
    <w:rsid w:val="42240D23"/>
    <w:rsid w:val="42933CCC"/>
    <w:rsid w:val="42E466EA"/>
    <w:rsid w:val="43023472"/>
    <w:rsid w:val="4368615F"/>
    <w:rsid w:val="43881E28"/>
    <w:rsid w:val="43DA6112"/>
    <w:rsid w:val="43EF1492"/>
    <w:rsid w:val="43F85298"/>
    <w:rsid w:val="43FB72DC"/>
    <w:rsid w:val="43FECF49"/>
    <w:rsid w:val="446408F0"/>
    <w:rsid w:val="449A2D48"/>
    <w:rsid w:val="44B40ED4"/>
    <w:rsid w:val="44FA02FF"/>
    <w:rsid w:val="450F36EA"/>
    <w:rsid w:val="45F94EB9"/>
    <w:rsid w:val="468A3CFD"/>
    <w:rsid w:val="46920328"/>
    <w:rsid w:val="47043A29"/>
    <w:rsid w:val="4708124C"/>
    <w:rsid w:val="471A6137"/>
    <w:rsid w:val="47830ECF"/>
    <w:rsid w:val="47F4609E"/>
    <w:rsid w:val="48445BD6"/>
    <w:rsid w:val="48911C54"/>
    <w:rsid w:val="48A0111C"/>
    <w:rsid w:val="490306E4"/>
    <w:rsid w:val="49576ADD"/>
    <w:rsid w:val="499DE082"/>
    <w:rsid w:val="4A034451"/>
    <w:rsid w:val="4A525F16"/>
    <w:rsid w:val="4A586870"/>
    <w:rsid w:val="4AC05191"/>
    <w:rsid w:val="4AC7650A"/>
    <w:rsid w:val="4AEA556D"/>
    <w:rsid w:val="4AF0701B"/>
    <w:rsid w:val="4AFC49DF"/>
    <w:rsid w:val="4B2F96DF"/>
    <w:rsid w:val="4BB46D99"/>
    <w:rsid w:val="4BF8E4B0"/>
    <w:rsid w:val="4C61411B"/>
    <w:rsid w:val="4CC667D1"/>
    <w:rsid w:val="4D88492B"/>
    <w:rsid w:val="4DAE7EA0"/>
    <w:rsid w:val="4DB6E416"/>
    <w:rsid w:val="4DFF0C49"/>
    <w:rsid w:val="4EB85E39"/>
    <w:rsid w:val="4EEE0AB1"/>
    <w:rsid w:val="4EF91A44"/>
    <w:rsid w:val="4EFBC7AF"/>
    <w:rsid w:val="4F1E9D54"/>
    <w:rsid w:val="4F6B127B"/>
    <w:rsid w:val="4F9217DE"/>
    <w:rsid w:val="4FAF183A"/>
    <w:rsid w:val="4FB9294E"/>
    <w:rsid w:val="4FF51641"/>
    <w:rsid w:val="50342628"/>
    <w:rsid w:val="50EE17A6"/>
    <w:rsid w:val="51C9903F"/>
    <w:rsid w:val="522A035E"/>
    <w:rsid w:val="52C94BD4"/>
    <w:rsid w:val="52D11624"/>
    <w:rsid w:val="52E26224"/>
    <w:rsid w:val="53FFCFFC"/>
    <w:rsid w:val="540463E4"/>
    <w:rsid w:val="545614C2"/>
    <w:rsid w:val="546037BA"/>
    <w:rsid w:val="546B5D09"/>
    <w:rsid w:val="552D196B"/>
    <w:rsid w:val="556A0B58"/>
    <w:rsid w:val="55EE6EE1"/>
    <w:rsid w:val="55F6E468"/>
    <w:rsid w:val="562F1B79"/>
    <w:rsid w:val="56EC6C0D"/>
    <w:rsid w:val="577B5D45"/>
    <w:rsid w:val="57EF4C19"/>
    <w:rsid w:val="57F70465"/>
    <w:rsid w:val="57FF6A10"/>
    <w:rsid w:val="5814059B"/>
    <w:rsid w:val="58801F0A"/>
    <w:rsid w:val="59A16C8C"/>
    <w:rsid w:val="59E6048B"/>
    <w:rsid w:val="5A70491F"/>
    <w:rsid w:val="5A7FC938"/>
    <w:rsid w:val="5AC473BB"/>
    <w:rsid w:val="5ADD0ED3"/>
    <w:rsid w:val="5B0502B2"/>
    <w:rsid w:val="5B150C81"/>
    <w:rsid w:val="5B860B37"/>
    <w:rsid w:val="5BCF6A53"/>
    <w:rsid w:val="5BFACBC2"/>
    <w:rsid w:val="5BFAE21D"/>
    <w:rsid w:val="5C193170"/>
    <w:rsid w:val="5CFEDDA9"/>
    <w:rsid w:val="5D525C46"/>
    <w:rsid w:val="5D612657"/>
    <w:rsid w:val="5DA85288"/>
    <w:rsid w:val="5EC770A1"/>
    <w:rsid w:val="5EF9B906"/>
    <w:rsid w:val="5F3FCE1E"/>
    <w:rsid w:val="5F9DF355"/>
    <w:rsid w:val="5FA7F613"/>
    <w:rsid w:val="5FB07F53"/>
    <w:rsid w:val="5FBA5757"/>
    <w:rsid w:val="5FC57EFE"/>
    <w:rsid w:val="5FD3A1E7"/>
    <w:rsid w:val="5FF91404"/>
    <w:rsid w:val="5FFF9880"/>
    <w:rsid w:val="613B52AA"/>
    <w:rsid w:val="615255EB"/>
    <w:rsid w:val="62576A63"/>
    <w:rsid w:val="62D039AE"/>
    <w:rsid w:val="62E91C4E"/>
    <w:rsid w:val="649BEFB3"/>
    <w:rsid w:val="64C32489"/>
    <w:rsid w:val="655A2973"/>
    <w:rsid w:val="6593771C"/>
    <w:rsid w:val="65B7BC1E"/>
    <w:rsid w:val="65BF786B"/>
    <w:rsid w:val="65CD6BEE"/>
    <w:rsid w:val="65D16E7D"/>
    <w:rsid w:val="66CB4FD3"/>
    <w:rsid w:val="66DD592D"/>
    <w:rsid w:val="66FF45CD"/>
    <w:rsid w:val="67FF51AC"/>
    <w:rsid w:val="67FF6C26"/>
    <w:rsid w:val="6812307D"/>
    <w:rsid w:val="685B6DB7"/>
    <w:rsid w:val="689C7AF3"/>
    <w:rsid w:val="693C34D8"/>
    <w:rsid w:val="699349A2"/>
    <w:rsid w:val="69BB26C3"/>
    <w:rsid w:val="69CF23DF"/>
    <w:rsid w:val="69E5D2F3"/>
    <w:rsid w:val="6AA77BB6"/>
    <w:rsid w:val="6ABBD8B8"/>
    <w:rsid w:val="6AE79406"/>
    <w:rsid w:val="6B2826D6"/>
    <w:rsid w:val="6B565EFF"/>
    <w:rsid w:val="6BEFB812"/>
    <w:rsid w:val="6CC5544F"/>
    <w:rsid w:val="6D0B0036"/>
    <w:rsid w:val="6D302A87"/>
    <w:rsid w:val="6D370C18"/>
    <w:rsid w:val="6DDE0534"/>
    <w:rsid w:val="6DE77F95"/>
    <w:rsid w:val="6DEA4CC2"/>
    <w:rsid w:val="6DEC45C2"/>
    <w:rsid w:val="6E2A3E96"/>
    <w:rsid w:val="6E79879D"/>
    <w:rsid w:val="6E835FC6"/>
    <w:rsid w:val="6E982F22"/>
    <w:rsid w:val="6ECD3FCA"/>
    <w:rsid w:val="6EEF5FC7"/>
    <w:rsid w:val="6EF151C3"/>
    <w:rsid w:val="6F17C619"/>
    <w:rsid w:val="6F1E0C49"/>
    <w:rsid w:val="6F347A9E"/>
    <w:rsid w:val="6F695458"/>
    <w:rsid w:val="6F6EE0CE"/>
    <w:rsid w:val="6F6F1515"/>
    <w:rsid w:val="6F734CE4"/>
    <w:rsid w:val="6F741E87"/>
    <w:rsid w:val="6F7680C7"/>
    <w:rsid w:val="6FA63C38"/>
    <w:rsid w:val="6FB97F4B"/>
    <w:rsid w:val="6FBDC688"/>
    <w:rsid w:val="6FDF1965"/>
    <w:rsid w:val="6FEDB103"/>
    <w:rsid w:val="6FEF9057"/>
    <w:rsid w:val="6FEFB253"/>
    <w:rsid w:val="6FF66D55"/>
    <w:rsid w:val="6FF7BDFB"/>
    <w:rsid w:val="6FFE4E1A"/>
    <w:rsid w:val="6FFF1D6B"/>
    <w:rsid w:val="70097753"/>
    <w:rsid w:val="702675D1"/>
    <w:rsid w:val="70C72F90"/>
    <w:rsid w:val="714E9CBF"/>
    <w:rsid w:val="716E04EF"/>
    <w:rsid w:val="71775FB5"/>
    <w:rsid w:val="71F55DD0"/>
    <w:rsid w:val="7283297C"/>
    <w:rsid w:val="72AE7DE2"/>
    <w:rsid w:val="72FBB1DE"/>
    <w:rsid w:val="73640162"/>
    <w:rsid w:val="73961F19"/>
    <w:rsid w:val="73D4612E"/>
    <w:rsid w:val="73EE142D"/>
    <w:rsid w:val="74430EF0"/>
    <w:rsid w:val="74995F33"/>
    <w:rsid w:val="755FED35"/>
    <w:rsid w:val="759D8569"/>
    <w:rsid w:val="75ED4AD2"/>
    <w:rsid w:val="762027B2"/>
    <w:rsid w:val="76874601"/>
    <w:rsid w:val="771D11FE"/>
    <w:rsid w:val="7738D8EA"/>
    <w:rsid w:val="77472180"/>
    <w:rsid w:val="777DCF01"/>
    <w:rsid w:val="77AB111A"/>
    <w:rsid w:val="77BBAE36"/>
    <w:rsid w:val="77C95DEE"/>
    <w:rsid w:val="77CFDADE"/>
    <w:rsid w:val="77DD37F4"/>
    <w:rsid w:val="77F6E03E"/>
    <w:rsid w:val="77F8A9CB"/>
    <w:rsid w:val="77FD3EB1"/>
    <w:rsid w:val="78D815E2"/>
    <w:rsid w:val="795B6F1F"/>
    <w:rsid w:val="79676633"/>
    <w:rsid w:val="7979B205"/>
    <w:rsid w:val="797A77F3"/>
    <w:rsid w:val="797E4E15"/>
    <w:rsid w:val="79841604"/>
    <w:rsid w:val="79A105D1"/>
    <w:rsid w:val="79A435BD"/>
    <w:rsid w:val="79DFF69B"/>
    <w:rsid w:val="79ED2D88"/>
    <w:rsid w:val="7A3F17CD"/>
    <w:rsid w:val="7AA7EB19"/>
    <w:rsid w:val="7ADFBB72"/>
    <w:rsid w:val="7B1258EB"/>
    <w:rsid w:val="7B6850D1"/>
    <w:rsid w:val="7B6A0A89"/>
    <w:rsid w:val="7B7FCAE9"/>
    <w:rsid w:val="7BB81026"/>
    <w:rsid w:val="7BCF1615"/>
    <w:rsid w:val="7BE266AA"/>
    <w:rsid w:val="7BE814B9"/>
    <w:rsid w:val="7BF179D3"/>
    <w:rsid w:val="7BF66155"/>
    <w:rsid w:val="7BFA1108"/>
    <w:rsid w:val="7BFAA8CC"/>
    <w:rsid w:val="7C532343"/>
    <w:rsid w:val="7C9E564F"/>
    <w:rsid w:val="7CB321E5"/>
    <w:rsid w:val="7CFE355A"/>
    <w:rsid w:val="7D5F6F70"/>
    <w:rsid w:val="7D67FE67"/>
    <w:rsid w:val="7D6D0192"/>
    <w:rsid w:val="7D7C4E56"/>
    <w:rsid w:val="7D900DCC"/>
    <w:rsid w:val="7DBB4C7E"/>
    <w:rsid w:val="7DFA883E"/>
    <w:rsid w:val="7DFB1279"/>
    <w:rsid w:val="7DFC5C6E"/>
    <w:rsid w:val="7DFD9CA3"/>
    <w:rsid w:val="7DFF5813"/>
    <w:rsid w:val="7E517117"/>
    <w:rsid w:val="7E5FA448"/>
    <w:rsid w:val="7EBF57AD"/>
    <w:rsid w:val="7EC034AC"/>
    <w:rsid w:val="7EDF22BD"/>
    <w:rsid w:val="7EE701F5"/>
    <w:rsid w:val="7EE97918"/>
    <w:rsid w:val="7EF60AD8"/>
    <w:rsid w:val="7F0137DA"/>
    <w:rsid w:val="7F29C35D"/>
    <w:rsid w:val="7F59754B"/>
    <w:rsid w:val="7F5E8766"/>
    <w:rsid w:val="7F6E813E"/>
    <w:rsid w:val="7F9F5370"/>
    <w:rsid w:val="7F9FB9A5"/>
    <w:rsid w:val="7FB4C80F"/>
    <w:rsid w:val="7FBF6324"/>
    <w:rsid w:val="7FCF3401"/>
    <w:rsid w:val="7FD9AC3C"/>
    <w:rsid w:val="7FE69D88"/>
    <w:rsid w:val="7FE7E663"/>
    <w:rsid w:val="7FE83055"/>
    <w:rsid w:val="7FF3238E"/>
    <w:rsid w:val="7FF71708"/>
    <w:rsid w:val="7FF78AD7"/>
    <w:rsid w:val="7FFD3AE1"/>
    <w:rsid w:val="7FFDDC96"/>
    <w:rsid w:val="7FFF25F7"/>
    <w:rsid w:val="7FFF315E"/>
    <w:rsid w:val="7FFF3C34"/>
    <w:rsid w:val="7FFF42CE"/>
    <w:rsid w:val="7FFF62B6"/>
    <w:rsid w:val="7FFFD8ED"/>
    <w:rsid w:val="8376A55D"/>
    <w:rsid w:val="96DFF766"/>
    <w:rsid w:val="9787B9BF"/>
    <w:rsid w:val="97E7E35E"/>
    <w:rsid w:val="97FC3A39"/>
    <w:rsid w:val="97FFCF1F"/>
    <w:rsid w:val="99FB5FA6"/>
    <w:rsid w:val="9AB76687"/>
    <w:rsid w:val="9BFA9727"/>
    <w:rsid w:val="9EDB31C9"/>
    <w:rsid w:val="9EF6626B"/>
    <w:rsid w:val="9EFC7595"/>
    <w:rsid w:val="9F77ABD8"/>
    <w:rsid w:val="9F925FB7"/>
    <w:rsid w:val="9FDF9479"/>
    <w:rsid w:val="9FFFC29E"/>
    <w:rsid w:val="A3FFE6F8"/>
    <w:rsid w:val="A7FF6118"/>
    <w:rsid w:val="A9BFCBD2"/>
    <w:rsid w:val="AE7FEBD4"/>
    <w:rsid w:val="AEC31734"/>
    <w:rsid w:val="B3578B59"/>
    <w:rsid w:val="B36B819E"/>
    <w:rsid w:val="B5CE55CA"/>
    <w:rsid w:val="B7E9FDFC"/>
    <w:rsid w:val="B7F66437"/>
    <w:rsid w:val="B9373FE2"/>
    <w:rsid w:val="B97BC8DA"/>
    <w:rsid w:val="B9FD5883"/>
    <w:rsid w:val="BB58F69E"/>
    <w:rsid w:val="BBB9D5E8"/>
    <w:rsid w:val="BBBFB2E8"/>
    <w:rsid w:val="BBFB6E2A"/>
    <w:rsid w:val="BCFB21F6"/>
    <w:rsid w:val="BD9F1FA7"/>
    <w:rsid w:val="BDDFABA5"/>
    <w:rsid w:val="BDF49AC4"/>
    <w:rsid w:val="BE9C5F87"/>
    <w:rsid w:val="BEBEB421"/>
    <w:rsid w:val="BEDEAC73"/>
    <w:rsid w:val="BEFF64A1"/>
    <w:rsid w:val="BF2F606A"/>
    <w:rsid w:val="BF324AEE"/>
    <w:rsid w:val="BFAA6424"/>
    <w:rsid w:val="BFB87D44"/>
    <w:rsid w:val="BFBF7AAA"/>
    <w:rsid w:val="BFDB7E1B"/>
    <w:rsid w:val="BFDFA445"/>
    <w:rsid w:val="BFE5F259"/>
    <w:rsid w:val="BFF7F337"/>
    <w:rsid w:val="BFFB8900"/>
    <w:rsid w:val="BFFC7316"/>
    <w:rsid w:val="BFFF2536"/>
    <w:rsid w:val="BFFFE655"/>
    <w:rsid w:val="C1FFBA75"/>
    <w:rsid w:val="C5EF6E98"/>
    <w:rsid w:val="CBF7A071"/>
    <w:rsid w:val="CC5535BB"/>
    <w:rsid w:val="CD775B1B"/>
    <w:rsid w:val="CF0F3285"/>
    <w:rsid w:val="CFFF7B71"/>
    <w:rsid w:val="CFFF971C"/>
    <w:rsid w:val="D4F7D532"/>
    <w:rsid w:val="D579E65E"/>
    <w:rsid w:val="D6FFCA69"/>
    <w:rsid w:val="D77FF755"/>
    <w:rsid w:val="D7BB200B"/>
    <w:rsid w:val="D8B7545B"/>
    <w:rsid w:val="D97CB734"/>
    <w:rsid w:val="D9B3EF5B"/>
    <w:rsid w:val="D9FDA6BF"/>
    <w:rsid w:val="DB7BD33C"/>
    <w:rsid w:val="DBBF4807"/>
    <w:rsid w:val="DBDB29AB"/>
    <w:rsid w:val="DBFD7520"/>
    <w:rsid w:val="DBFF4518"/>
    <w:rsid w:val="DCB93659"/>
    <w:rsid w:val="DCD5145A"/>
    <w:rsid w:val="DDCFF320"/>
    <w:rsid w:val="DDFB6A8C"/>
    <w:rsid w:val="DE728EA8"/>
    <w:rsid w:val="DEBC8905"/>
    <w:rsid w:val="DF5764CA"/>
    <w:rsid w:val="DF7DAF97"/>
    <w:rsid w:val="DF8F792A"/>
    <w:rsid w:val="DFAFE165"/>
    <w:rsid w:val="DFB64CD0"/>
    <w:rsid w:val="DFDE0F79"/>
    <w:rsid w:val="DFEF307B"/>
    <w:rsid w:val="DFF55F08"/>
    <w:rsid w:val="DFF9005B"/>
    <w:rsid w:val="DFFF1B9F"/>
    <w:rsid w:val="DFFF665D"/>
    <w:rsid w:val="DFFF6C23"/>
    <w:rsid w:val="E1FF5EAA"/>
    <w:rsid w:val="E2935FFA"/>
    <w:rsid w:val="E2EBE873"/>
    <w:rsid w:val="E32E8952"/>
    <w:rsid w:val="E3E7653A"/>
    <w:rsid w:val="E3FB28CA"/>
    <w:rsid w:val="E4BD4177"/>
    <w:rsid w:val="E4EEFE60"/>
    <w:rsid w:val="E53FAD57"/>
    <w:rsid w:val="E577A9C3"/>
    <w:rsid w:val="E67FAD97"/>
    <w:rsid w:val="E6CFB530"/>
    <w:rsid w:val="E78A7151"/>
    <w:rsid w:val="E7FB5346"/>
    <w:rsid w:val="E87DB762"/>
    <w:rsid w:val="E8BF75AC"/>
    <w:rsid w:val="E9FE41CC"/>
    <w:rsid w:val="EAFF13CE"/>
    <w:rsid w:val="EB644B7F"/>
    <w:rsid w:val="EB75630C"/>
    <w:rsid w:val="EB7B44FC"/>
    <w:rsid w:val="EBB868FE"/>
    <w:rsid w:val="EBBBA9BE"/>
    <w:rsid w:val="EC2FD509"/>
    <w:rsid w:val="ECE38B75"/>
    <w:rsid w:val="ECFF4E6F"/>
    <w:rsid w:val="ED582CCD"/>
    <w:rsid w:val="ED5B91D9"/>
    <w:rsid w:val="ED7BCBEE"/>
    <w:rsid w:val="EDDF2906"/>
    <w:rsid w:val="EEAAF918"/>
    <w:rsid w:val="EF27F98D"/>
    <w:rsid w:val="EF6FCBF6"/>
    <w:rsid w:val="EF7F8716"/>
    <w:rsid w:val="EFBF6751"/>
    <w:rsid w:val="EFBFCD86"/>
    <w:rsid w:val="EFE882C2"/>
    <w:rsid w:val="EFF21B53"/>
    <w:rsid w:val="EFF7086E"/>
    <w:rsid w:val="EFFB313C"/>
    <w:rsid w:val="EFFF2723"/>
    <w:rsid w:val="EFFFD9C5"/>
    <w:rsid w:val="EFFFDEE9"/>
    <w:rsid w:val="F2BE7394"/>
    <w:rsid w:val="F3EA477C"/>
    <w:rsid w:val="F3F72B53"/>
    <w:rsid w:val="F3FB7A45"/>
    <w:rsid w:val="F57F57F3"/>
    <w:rsid w:val="F5FBA065"/>
    <w:rsid w:val="F63DDBDF"/>
    <w:rsid w:val="F6B386C3"/>
    <w:rsid w:val="F6BFED7C"/>
    <w:rsid w:val="F6DDBD3E"/>
    <w:rsid w:val="F6FF94A2"/>
    <w:rsid w:val="F77624FA"/>
    <w:rsid w:val="F85E606C"/>
    <w:rsid w:val="F8EB7F2D"/>
    <w:rsid w:val="F9AC0094"/>
    <w:rsid w:val="F9FE4244"/>
    <w:rsid w:val="FABEFFE0"/>
    <w:rsid w:val="FB7E7AE0"/>
    <w:rsid w:val="FB9BE1AB"/>
    <w:rsid w:val="FBCFAEB8"/>
    <w:rsid w:val="FBDF47E9"/>
    <w:rsid w:val="FBE73759"/>
    <w:rsid w:val="FBEE40E9"/>
    <w:rsid w:val="FBEFDE6D"/>
    <w:rsid w:val="FC9BE709"/>
    <w:rsid w:val="FC9D1A51"/>
    <w:rsid w:val="FCDD5AC7"/>
    <w:rsid w:val="FD1A88AF"/>
    <w:rsid w:val="FD771BDB"/>
    <w:rsid w:val="FD7B6FC8"/>
    <w:rsid w:val="FDF3BEF2"/>
    <w:rsid w:val="FDF5E1FC"/>
    <w:rsid w:val="FDFB8657"/>
    <w:rsid w:val="FE798B52"/>
    <w:rsid w:val="FE9FEB98"/>
    <w:rsid w:val="FEDEA105"/>
    <w:rsid w:val="FEED57FE"/>
    <w:rsid w:val="FEF70946"/>
    <w:rsid w:val="FEF77E03"/>
    <w:rsid w:val="FEF7AF47"/>
    <w:rsid w:val="FEFFB5AC"/>
    <w:rsid w:val="FEFFE5BD"/>
    <w:rsid w:val="FF3C89B8"/>
    <w:rsid w:val="FF3FB5BA"/>
    <w:rsid w:val="FF645C61"/>
    <w:rsid w:val="FF948CAF"/>
    <w:rsid w:val="FF9D79BF"/>
    <w:rsid w:val="FFB5AF74"/>
    <w:rsid w:val="FFB9D3AC"/>
    <w:rsid w:val="FFB9E451"/>
    <w:rsid w:val="FFBF1BEA"/>
    <w:rsid w:val="FFBFFF83"/>
    <w:rsid w:val="FFCFA0A4"/>
    <w:rsid w:val="FFCFCD9B"/>
    <w:rsid w:val="FFEF9E5E"/>
    <w:rsid w:val="FFFBEF68"/>
    <w:rsid w:val="FFFD6936"/>
    <w:rsid w:val="FFFDA2CE"/>
    <w:rsid w:val="FFFE291E"/>
    <w:rsid w:val="FFFE4ACD"/>
    <w:rsid w:val="FFFF6EF1"/>
    <w:rsid w:val="FFFFC6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paragraph" w:styleId="2">
    <w:name w:val="heading 1"/>
    <w:basedOn w:val="1"/>
    <w:next w:val="1"/>
    <w:qFormat/>
    <w:uiPriority w:val="1"/>
    <w:pPr>
      <w:ind w:left="573"/>
      <w:outlineLvl w:val="1"/>
    </w:pPr>
    <w:rPr>
      <w:rFonts w:ascii="宋体" w:hAnsi="宋体" w:eastAsia="宋体" w:cs="宋体"/>
      <w:sz w:val="44"/>
      <w:szCs w:val="44"/>
      <w:lang w:val="en-US" w:eastAsia="zh-CN" w:bidi="ar-SA"/>
    </w:rPr>
  </w:style>
  <w:style w:type="paragraph" w:styleId="3">
    <w:name w:val="heading 2"/>
    <w:basedOn w:val="1"/>
    <w:next w:val="1"/>
    <w:qFormat/>
    <w:uiPriority w:val="1"/>
    <w:pPr>
      <w:ind w:left="1067" w:hanging="324"/>
      <w:outlineLvl w:val="2"/>
    </w:pPr>
    <w:rPr>
      <w:rFonts w:ascii="仿宋" w:hAnsi="仿宋" w:eastAsia="仿宋" w:cs="仿宋"/>
      <w:b/>
      <w:bCs/>
      <w:sz w:val="32"/>
      <w:szCs w:val="32"/>
      <w:lang w:val="en-US"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styleId="6">
    <w:name w:val="toa heading"/>
    <w:basedOn w:val="1"/>
    <w:next w:val="1"/>
    <w:qFormat/>
    <w:uiPriority w:val="0"/>
    <w:rPr>
      <w:rFonts w:ascii="Arial" w:hAnsi="Arial"/>
      <w:sz w:val="24"/>
    </w:rPr>
  </w:style>
  <w:style w:type="paragraph" w:styleId="7">
    <w:name w:val="annotation text"/>
    <w:basedOn w:val="1"/>
    <w:qFormat/>
    <w:uiPriority w:val="0"/>
    <w:pPr>
      <w:jc w:val="left"/>
    </w:pPr>
  </w:style>
  <w:style w:type="paragraph" w:styleId="8">
    <w:name w:val="Body Text"/>
    <w:basedOn w:val="1"/>
    <w:qFormat/>
    <w:uiPriority w:val="1"/>
    <w:rPr>
      <w:rFonts w:ascii="仿宋" w:hAnsi="仿宋" w:eastAsia="仿宋" w:cs="仿宋"/>
      <w:sz w:val="32"/>
      <w:szCs w:val="32"/>
      <w:lang w:val="en-US" w:eastAsia="zh-CN" w:bidi="ar-SA"/>
    </w:r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1"/>
    <w:pPr>
      <w:spacing w:before="175"/>
      <w:ind w:left="1200"/>
    </w:pPr>
    <w:rPr>
      <w:rFonts w:ascii="宋体" w:hAnsi="宋体" w:eastAsia="宋体" w:cs="宋体"/>
      <w:sz w:val="30"/>
      <w:szCs w:val="30"/>
      <w:lang w:val="en-US" w:eastAsia="zh-CN" w:bidi="ar-SA"/>
    </w:rPr>
  </w:style>
  <w:style w:type="paragraph" w:styleId="13">
    <w:name w:val="toc 2"/>
    <w:basedOn w:val="1"/>
    <w:next w:val="1"/>
    <w:qFormat/>
    <w:uiPriority w:val="1"/>
    <w:pPr>
      <w:spacing w:before="175"/>
      <w:ind w:left="1800"/>
    </w:pPr>
    <w:rPr>
      <w:rFonts w:ascii="仿宋" w:hAnsi="仿宋" w:eastAsia="仿宋" w:cs="仿宋"/>
      <w:sz w:val="30"/>
      <w:szCs w:val="30"/>
      <w:lang w:val="en-US" w:eastAsia="zh-CN" w:bidi="ar-SA"/>
    </w:rPr>
  </w:style>
  <w:style w:type="paragraph" w:styleId="14">
    <w:name w:val="Normal (Web)"/>
    <w:basedOn w:val="1"/>
    <w:qFormat/>
    <w:uiPriority w:val="0"/>
    <w:rPr>
      <w:sz w:val="24"/>
    </w:rPr>
  </w:style>
  <w:style w:type="paragraph" w:styleId="15">
    <w:name w:val="Title"/>
    <w:basedOn w:val="1"/>
    <w:qFormat/>
    <w:uiPriority w:val="1"/>
    <w:pPr>
      <w:spacing w:before="159"/>
      <w:ind w:left="1152" w:right="1833"/>
      <w:jc w:val="center"/>
    </w:pPr>
    <w:rPr>
      <w:rFonts w:ascii="宋体" w:hAnsi="宋体" w:eastAsia="宋体" w:cs="宋体"/>
      <w:sz w:val="72"/>
      <w:szCs w:val="72"/>
      <w:lang w:val="en-US" w:eastAsia="zh-CN" w:bidi="ar-SA"/>
    </w:rPr>
  </w:style>
  <w:style w:type="table" w:styleId="17">
    <w:name w:val="Table Grid"/>
    <w:basedOn w:val="1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Hyperlink"/>
    <w:basedOn w:val="18"/>
    <w:qFormat/>
    <w:uiPriority w:val="0"/>
    <w:rPr>
      <w:color w:val="0000FF"/>
      <w:u w:val="single"/>
    </w:rPr>
  </w:style>
  <w:style w:type="paragraph" w:customStyle="1" w:styleId="21">
    <w:name w:val="Default"/>
    <w:qFormat/>
    <w:uiPriority w:val="99"/>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 w:type="table" w:customStyle="1" w:styleId="22">
    <w:name w:val="Table Normal"/>
    <w:semiHidden/>
    <w:unhideWhenUsed/>
    <w:qFormat/>
    <w:uiPriority w:val="2"/>
    <w:tblPr>
      <w:tblCellMar>
        <w:top w:w="0" w:type="dxa"/>
        <w:left w:w="0" w:type="dxa"/>
        <w:bottom w:w="0" w:type="dxa"/>
        <w:right w:w="0" w:type="dxa"/>
      </w:tblCellMar>
    </w:tblPr>
  </w:style>
  <w:style w:type="paragraph" w:styleId="23">
    <w:name w:val="List Paragraph"/>
    <w:basedOn w:val="1"/>
    <w:qFormat/>
    <w:uiPriority w:val="1"/>
    <w:pPr>
      <w:ind w:left="103" w:firstLine="640"/>
    </w:pPr>
    <w:rPr>
      <w:rFonts w:ascii="仿宋" w:hAnsi="仿宋" w:eastAsia="仿宋" w:cs="仿宋"/>
      <w:lang w:val="en-US" w:eastAsia="zh-CN" w:bidi="ar-SA"/>
    </w:rPr>
  </w:style>
  <w:style w:type="paragraph" w:customStyle="1" w:styleId="24">
    <w:name w:val="Table Paragraph"/>
    <w:basedOn w:val="1"/>
    <w:qFormat/>
    <w:uiPriority w:val="1"/>
    <w:rPr>
      <w:rFonts w:ascii="仿宋" w:hAnsi="仿宋" w:eastAsia="仿宋" w:cs="仿宋"/>
      <w:lang w:val="en-US" w:eastAsia="zh-CN" w:bidi="ar-SA"/>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 w:type="paragraph" w:customStyle="1" w:styleId="2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6565</Words>
  <Characters>6809</Characters>
  <Lines>1</Lines>
  <Paragraphs>1</Paragraphs>
  <TotalTime>691</TotalTime>
  <ScaleCrop>false</ScaleCrop>
  <LinksUpToDate>false</LinksUpToDate>
  <CharactersWithSpaces>7319</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2024-10-04T00:50:00Z</dcterms:created>
  <dc:creator>Lenovo</dc:creator>
  <cp:lastModifiedBy>QHTF</cp:lastModifiedBy>
  <cp:lastPrinted>2025-09-11T07:28:00Z</cp:lastPrinted>
  <dcterms:modified xsi:type="dcterms:W3CDTF">2025-09-10T17:06:35Z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WPS 文字</vt:lpwstr>
  </property>
  <property fmtid="{D5CDD505-2E9C-101B-9397-08002B2CF9AE}" pid="4" name="LastSaved">
    <vt:filetime>2024-09-13T00:00:00Z</vt:filetime>
  </property>
  <property fmtid="{D5CDD505-2E9C-101B-9397-08002B2CF9AE}" pid="5" name="KSOProductBuildVer">
    <vt:lpwstr>2052-11.8.2.12219</vt:lpwstr>
  </property>
  <property fmtid="{D5CDD505-2E9C-101B-9397-08002B2CF9AE}" pid="6" name="ICV">
    <vt:lpwstr>574070BC562B87E7CDC8AE68E6999696_43</vt:lpwstr>
  </property>
</Properties>
</file>