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45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附件3</w:t>
      </w:r>
    </w:p>
    <w:p>
      <w:pPr>
        <w:widowControl/>
        <w:shd w:val="clear" w:color="auto" w:fill="FFFFFF"/>
        <w:spacing w:line="560" w:lineRule="exact"/>
        <w:ind w:right="45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45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333333"/>
          <w:kern w:val="0"/>
          <w:sz w:val="40"/>
          <w:szCs w:val="40"/>
        </w:rPr>
        <w:t>第四批医用耗材联合带量采购遴选规则</w:t>
      </w:r>
    </w:p>
    <w:bookmarkEnd w:id="0"/>
    <w:p>
      <w:pPr>
        <w:widowControl/>
        <w:shd w:val="clear" w:color="auto" w:fill="FFFFFF"/>
        <w:spacing w:line="560" w:lineRule="exact"/>
        <w:ind w:right="45" w:firstLine="622"/>
        <w:jc w:val="left"/>
        <w:rPr>
          <w:rFonts w:ascii="仿宋_GB2312" w:hAnsi="微软雅黑" w:eastAsia="仿宋_GB2312" w:cs="宋体"/>
          <w:color w:val="333333"/>
          <w:kern w:val="0"/>
          <w:sz w:val="31"/>
        </w:rPr>
      </w:pPr>
    </w:p>
    <w:p>
      <w:pPr>
        <w:widowControl/>
        <w:shd w:val="clear" w:color="auto" w:fill="FFFFFF"/>
        <w:spacing w:line="560" w:lineRule="exact"/>
        <w:ind w:right="45"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一、评审规则</w:t>
      </w:r>
    </w:p>
    <w:p>
      <w:pPr>
        <w:pStyle w:val="5"/>
        <w:spacing w:line="56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采用综合评分法，综合考虑申报企业临床适用、产品质量、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供应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能力、价格降幅，由联盟随机抽取专家进行评审，去掉最高分和最低分后取平均分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为最终得分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。具体见表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及评分说明。  </w:t>
      </w:r>
    </w:p>
    <w:p>
      <w:pPr>
        <w:pStyle w:val="5"/>
        <w:spacing w:line="560" w:lineRule="exact"/>
        <w:ind w:left="0"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二、中选规则</w:t>
      </w:r>
    </w:p>
    <w:p>
      <w:pPr>
        <w:pStyle w:val="5"/>
        <w:spacing w:line="56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按照综合评分作为最终得分，从高到低取2家企业中选，若最终得分并列，则由并列的企业按产品价格得分从高到低优先入围中选。</w:t>
      </w:r>
    </w:p>
    <w:p>
      <w:pPr>
        <w:widowControl/>
        <w:shd w:val="clear" w:color="auto" w:fill="FFFFFF"/>
        <w:ind w:right="45" w:firstLine="620"/>
        <w:jc w:val="left"/>
        <w:rPr>
          <w:rFonts w:hint="eastAsia" w:ascii="仿宋_GB2312" w:hAnsi="微软雅黑" w:eastAsia="仿宋_GB2312" w:cs="宋体"/>
          <w:color w:val="333333"/>
          <w:kern w:val="0"/>
          <w:sz w:val="31"/>
          <w:szCs w:val="31"/>
        </w:rPr>
      </w:pPr>
    </w:p>
    <w:p>
      <w:pPr>
        <w:widowControl/>
        <w:shd w:val="clear" w:color="auto" w:fill="FFFFFF"/>
        <w:ind w:right="45" w:firstLine="620"/>
        <w:jc w:val="left"/>
        <w:rPr>
          <w:rFonts w:hint="eastAsia" w:ascii="仿宋_GB2312" w:hAnsi="微软雅黑" w:eastAsia="仿宋_GB2312" w:cs="宋体"/>
          <w:color w:val="333333"/>
          <w:kern w:val="0"/>
          <w:sz w:val="31"/>
          <w:szCs w:val="31"/>
        </w:rPr>
      </w:pPr>
    </w:p>
    <w:p>
      <w:pPr>
        <w:widowControl/>
        <w:shd w:val="clear" w:color="auto" w:fill="FFFFFF"/>
        <w:ind w:right="45" w:firstLine="620"/>
        <w:jc w:val="left"/>
        <w:rPr>
          <w:rFonts w:hint="eastAsia" w:ascii="仿宋_GB2312" w:hAnsi="微软雅黑" w:eastAsia="仿宋_GB2312" w:cs="宋体"/>
          <w:color w:val="333333"/>
          <w:kern w:val="0"/>
          <w:sz w:val="31"/>
          <w:szCs w:val="31"/>
        </w:rPr>
      </w:pPr>
    </w:p>
    <w:p>
      <w:pPr>
        <w:widowControl/>
        <w:shd w:val="clear" w:color="auto" w:fill="FFFFFF"/>
        <w:ind w:right="45" w:firstLine="620"/>
        <w:jc w:val="left"/>
        <w:rPr>
          <w:rFonts w:hint="eastAsia" w:ascii="仿宋_GB2312" w:hAnsi="微软雅黑" w:eastAsia="仿宋_GB2312" w:cs="宋体"/>
          <w:color w:val="333333"/>
          <w:kern w:val="0"/>
          <w:sz w:val="31"/>
          <w:szCs w:val="31"/>
        </w:rPr>
      </w:pPr>
    </w:p>
    <w:p>
      <w:pPr>
        <w:widowControl/>
        <w:shd w:val="clear" w:color="auto" w:fill="FFFFFF"/>
        <w:ind w:right="45" w:firstLine="620"/>
        <w:jc w:val="left"/>
        <w:rPr>
          <w:rFonts w:hint="eastAsia" w:ascii="仿宋_GB2312" w:hAnsi="微软雅黑" w:eastAsia="仿宋_GB2312" w:cs="宋体"/>
          <w:color w:val="333333"/>
          <w:kern w:val="0"/>
          <w:sz w:val="31"/>
          <w:szCs w:val="31"/>
        </w:rPr>
      </w:pPr>
    </w:p>
    <w:p>
      <w:pPr>
        <w:widowControl/>
        <w:shd w:val="clear" w:color="auto" w:fill="FFFFFF"/>
        <w:ind w:right="45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ind w:right="45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ind w:right="45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ind w:right="45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ind w:right="45"/>
        <w:rPr>
          <w:rFonts w:hint="eastAsia" w:ascii="宋体" w:hAnsi="宋体" w:cs="宋体"/>
          <w:color w:val="333333"/>
          <w:kern w:val="0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7" w:charSpace="0"/>
        </w:sectPr>
      </w:pPr>
    </w:p>
    <w:p>
      <w:pPr>
        <w:widowControl/>
        <w:shd w:val="clear" w:color="auto" w:fill="FFFFFF"/>
        <w:ind w:right="45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表1</w:t>
      </w:r>
    </w:p>
    <w:p>
      <w:pPr>
        <w:widowControl/>
        <w:shd w:val="clear" w:color="auto" w:fill="FFFFFF"/>
        <w:ind w:right="45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泉州市第四批医用耗材联合带量采购样品试用意见表（压力传感器）</w:t>
      </w:r>
    </w:p>
    <w:tbl>
      <w:tblPr>
        <w:tblStyle w:val="3"/>
        <w:tblW w:w="153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650"/>
        <w:gridCol w:w="1701"/>
        <w:gridCol w:w="1701"/>
        <w:gridCol w:w="1701"/>
        <w:gridCol w:w="4545"/>
        <w:gridCol w:w="163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试用医疗机构：</w:t>
            </w:r>
          </w:p>
        </w:tc>
        <w:tc>
          <w:tcPr>
            <w:tcW w:w="1298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960" w:firstLineChars="4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试用科室负责人签字：                             耗材采购负责人签字：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厂家名称</w:t>
            </w:r>
          </w:p>
        </w:tc>
        <w:tc>
          <w:tcPr>
            <w:tcW w:w="112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技术指标临床应用情况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综合意见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（优/良/差）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36"/>
              </w:tabs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压力范围</w:t>
            </w:r>
          </w:p>
          <w:p>
            <w:pPr>
              <w:widowControl/>
              <w:tabs>
                <w:tab w:val="left" w:pos="436"/>
              </w:tabs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（优/良/差）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标称灵敏度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（优/良/差）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测量准确性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（优/良/差）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各部件物理性能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（包括各部件材质、管道连接、冲洗流速、管道气泡等）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（优/良/差）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设备兼容性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（优/良/差）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right="4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表2</w:t>
      </w:r>
    </w:p>
    <w:p>
      <w:pPr>
        <w:widowControl/>
        <w:shd w:val="clear" w:color="auto" w:fill="FFFFFF"/>
        <w:ind w:right="45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泉州市第四批医用耗材联合带量采购样品试用意见表（雾化器）</w:t>
      </w:r>
    </w:p>
    <w:tbl>
      <w:tblPr>
        <w:tblStyle w:val="3"/>
        <w:tblW w:w="138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265"/>
        <w:gridCol w:w="1678"/>
        <w:gridCol w:w="2640"/>
        <w:gridCol w:w="3885"/>
        <w:gridCol w:w="2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试用医疗机构：</w:t>
            </w:r>
          </w:p>
        </w:tc>
        <w:tc>
          <w:tcPr>
            <w:tcW w:w="1025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试用科室负责人签字：                       耗材采购负责人签字：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厂家名称</w:t>
            </w:r>
          </w:p>
        </w:tc>
        <w:tc>
          <w:tcPr>
            <w:tcW w:w="8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技术指标临床应用情况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综合意见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（优/良/差）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材质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（软硬、有无异味）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（优/良/差）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成雾情况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（优/良/差）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各部件物理性能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（包括连接情况、紧密度、操作便利度、长度）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（优/良/差）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right="45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ind w:right="45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表3</w:t>
      </w:r>
    </w:p>
    <w:p>
      <w:pPr>
        <w:widowControl/>
        <w:shd w:val="clear" w:color="auto" w:fill="FFFFFF"/>
        <w:ind w:right="45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泉州市第四批医用耗材联合带量采购样品试用意见表（输液接头-正压）</w:t>
      </w:r>
    </w:p>
    <w:tbl>
      <w:tblPr>
        <w:tblStyle w:val="3"/>
        <w:tblW w:w="1393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835"/>
        <w:gridCol w:w="1701"/>
        <w:gridCol w:w="1701"/>
        <w:gridCol w:w="1701"/>
        <w:gridCol w:w="1701"/>
        <w:gridCol w:w="1984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试用医疗机构：</w:t>
            </w:r>
          </w:p>
        </w:tc>
        <w:tc>
          <w:tcPr>
            <w:tcW w:w="1064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0" w:firstLineChars="5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试用科室负责人签字：                       耗材采购负责人签字：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厂家名称</w:t>
            </w:r>
          </w:p>
        </w:tc>
        <w:tc>
          <w:tcPr>
            <w:tcW w:w="8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技术指标临床应用情况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综合意见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（优/良/差）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连接紧密度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（优/良/差）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回弹情况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（优/良/差）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反复连接次数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（优/良/差）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接头消毒简便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（优/良/差）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外观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（透明度、可观察度）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（优/良/差）</w:t>
            </w:r>
          </w:p>
        </w:tc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right="4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表4</w:t>
      </w:r>
    </w:p>
    <w:p>
      <w:pPr>
        <w:widowControl/>
        <w:shd w:val="clear" w:color="auto" w:fill="FFFFFF"/>
        <w:ind w:right="45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泉州市第四批医用耗材联合带量采购样品试用意见表（输液接头-非正压）</w:t>
      </w:r>
    </w:p>
    <w:tbl>
      <w:tblPr>
        <w:tblStyle w:val="3"/>
        <w:tblW w:w="132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910"/>
        <w:gridCol w:w="1605"/>
        <w:gridCol w:w="1800"/>
        <w:gridCol w:w="1800"/>
        <w:gridCol w:w="1875"/>
        <w:gridCol w:w="2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试用医疗机构：</w:t>
            </w:r>
          </w:p>
        </w:tc>
        <w:tc>
          <w:tcPr>
            <w:tcW w:w="970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试用科室负责人签字：                         耗材采购负责人签字：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厂家名称</w:t>
            </w:r>
          </w:p>
        </w:tc>
        <w:tc>
          <w:tcPr>
            <w:tcW w:w="7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技术指标临床应用情况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综合意见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（优/良/差）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高滴速要求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（优/良/差）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反复连接次数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（优/良/差）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连接紧密度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（优/良/差）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接头消毒简便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（优/良/差）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right="45"/>
        <w:rPr>
          <w:rFonts w:hint="eastAsia" w:ascii="宋体" w:hAnsi="宋体" w:cs="宋体"/>
          <w:color w:val="333333"/>
          <w:kern w:val="0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9" w:charSpace="204"/>
        </w:sectPr>
      </w:pPr>
    </w:p>
    <w:p>
      <w:pPr>
        <w:widowControl/>
        <w:shd w:val="clear" w:color="auto" w:fill="FFFFFF"/>
        <w:ind w:right="4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表5</w:t>
      </w:r>
    </w:p>
    <w:p>
      <w:pPr>
        <w:widowControl/>
        <w:shd w:val="clear" w:color="auto" w:fill="FFFFFF"/>
        <w:ind w:right="45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  <w:t>第四批医用耗材联合带量采购遴选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综合评分表</w:t>
      </w:r>
    </w:p>
    <w:p>
      <w:pPr>
        <w:widowControl/>
        <w:shd w:val="clear" w:color="auto" w:fill="FFFFFF"/>
        <w:ind w:right="45"/>
        <w:rPr>
          <w:rFonts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24"/>
          <w:szCs w:val="24"/>
        </w:rPr>
        <w:t xml:space="preserve">品种：                          填写人（姓名及单位职务）： 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24"/>
          <w:szCs w:val="24"/>
        </w:rPr>
        <w:t xml:space="preserve">  填写时间：    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 xml:space="preserve">   </w:t>
      </w:r>
    </w:p>
    <w:tbl>
      <w:tblPr>
        <w:tblStyle w:val="3"/>
        <w:tblW w:w="14733" w:type="dxa"/>
        <w:tblInd w:w="-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840"/>
        <w:gridCol w:w="2205"/>
        <w:gridCol w:w="2355"/>
        <w:gridCol w:w="2460"/>
        <w:gridCol w:w="2445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58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  <w:r>
              <w:rPr>
                <w:rFonts w:hint="eastAsia"/>
              </w:rPr>
              <w:t>项目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  <w:r>
              <w:rPr>
                <w:rFonts w:hint="eastAsia"/>
              </w:rPr>
              <w:t>分值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企业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企业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企业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企业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058" w:type="dxa"/>
            <w:noWrap w:val="0"/>
            <w:vAlign w:val="center"/>
          </w:tcPr>
          <w:p>
            <w:pPr>
              <w:pStyle w:val="5"/>
              <w:spacing w:line="320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"/>
              </w:rPr>
              <w:t>临床适用</w:t>
            </w:r>
            <w:r>
              <w:rPr>
                <w:rFonts w:hint="eastAsia"/>
                <w:sz w:val="28"/>
                <w:szCs w:val="28"/>
              </w:rPr>
              <w:t>10分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5"/>
              <w:spacing w:line="320" w:lineRule="exact"/>
              <w:ind w:left="0"/>
              <w:jc w:val="left"/>
            </w:pPr>
            <w:r>
              <w:rPr>
                <w:rFonts w:hint="eastAsia"/>
              </w:rPr>
              <w:t>0或10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spacing w:line="320" w:lineRule="exact"/>
              <w:ind w:left="0"/>
              <w:jc w:val="left"/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pStyle w:val="5"/>
              <w:spacing w:line="320" w:lineRule="exact"/>
              <w:ind w:left="0"/>
              <w:jc w:val="left"/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pStyle w:val="5"/>
              <w:spacing w:line="320" w:lineRule="exact"/>
              <w:ind w:left="0"/>
              <w:jc w:val="left"/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pStyle w:val="5"/>
              <w:spacing w:line="320" w:lineRule="exact"/>
              <w:ind w:left="0"/>
              <w:jc w:val="left"/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5"/>
              <w:spacing w:line="320" w:lineRule="exact"/>
              <w:ind w:left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058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产品质量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058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</w:t>
            </w:r>
            <w:r>
              <w:rPr>
                <w:rFonts w:hint="eastAsia"/>
                <w:sz w:val="28"/>
                <w:szCs w:val="28"/>
              </w:rPr>
              <w:t>能力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0或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58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降幅 </w:t>
            </w:r>
            <w:r>
              <w:rPr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  <w:r>
              <w:rPr>
                <w:rFonts w:hint="eastAsia"/>
              </w:rPr>
              <w:t>0-40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058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  <w:r>
              <w:rPr>
                <w:rFonts w:hint="eastAsia"/>
              </w:rPr>
              <w:t>100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5"/>
              <w:spacing w:line="360" w:lineRule="auto"/>
              <w:ind w:left="0"/>
              <w:jc w:val="left"/>
            </w:pPr>
          </w:p>
        </w:tc>
      </w:tr>
    </w:tbl>
    <w:p>
      <w:pPr>
        <w:widowControl/>
        <w:shd w:val="clear" w:color="auto" w:fill="FFFFFF"/>
        <w:spacing w:line="560" w:lineRule="exact"/>
        <w:ind w:right="45"/>
        <w:jc w:val="left"/>
        <w:rPr>
          <w:rFonts w:hint="eastAsia" w:ascii="黑体" w:hAnsi="黑体" w:eastAsia="黑体" w:cs="黑体"/>
          <w:color w:val="333333"/>
          <w:kern w:val="0"/>
          <w:sz w:val="44"/>
          <w:szCs w:val="4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9" w:charSpace="204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5"/>
        <w:jc w:val="left"/>
        <w:rPr>
          <w:rFonts w:hint="eastAsia" w:ascii="黑体" w:hAnsi="黑体" w:eastAsia="黑体" w:cs="黑体"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kern w:val="0"/>
          <w:sz w:val="44"/>
          <w:szCs w:val="44"/>
        </w:rPr>
        <w:t>评分说明：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5" w:firstLine="643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1.产品临床适用分值10分。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由评审专家现场审阅产品使用说明书，并根据临床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试用综合意见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进行评分，试用医院综合意见中有</w:t>
      </w:r>
      <w:r>
        <w:rPr>
          <w:rFonts w:ascii="仿宋_GB2312" w:hAnsi="仿宋_GB2312" w:eastAsia="仿宋_GB2312" w:cs="仿宋_GB2312"/>
          <w:color w:val="333333"/>
          <w:sz w:val="32"/>
          <w:szCs w:val="32"/>
          <w:lang w:val="e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"/>
        </w:rPr>
        <w:t>家评为“差”档次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则得0分，否则得10分。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5" w:firstLine="643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2.产品质量分值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分。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由评审专家根据试用医疗机构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样品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试用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意见表等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情况，现场对样品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质量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情况进行量化评分。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center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压力传感器：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考虑压力范围、标称灵敏度、测量准确性、各部件物理性能（包括各部件材质、管道连接、冲洗流速、管道气泡等）、设备兼容性等指标。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5" w:firstLine="643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eastAsia="zh-CN"/>
        </w:rPr>
        <w:t>一次性使用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雾化吸入器：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主要考虑材质（软硬、有无异味等）、成雾情况、各部件物理性能（包括连接情况、紧密度、操作便利度、长度）等指标。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5" w:firstLine="643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一次性使用输液接头（正压）：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主要考虑连接紧密度、回弹情况、反复连接次数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接头消毒简便、外观（透明度、可观察度）等指标。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5" w:firstLine="643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一次性使用输液接头（非正压）：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主要考虑高滴速要求、反复连接次数、连接紧密度、接头消毒简便等指标。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5" w:firstLine="643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eastAsia="zh-CN"/>
        </w:rPr>
        <w:t>供应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能力分值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分。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承诺可以保障联盟各医院相关产品供应的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（提交附件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得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分，否则得0分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5" w:firstLine="643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.价格降幅分值40分。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申报厂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家产品报价达到期望价格，即得满分，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报价高于期望价格的，其价格得分为期望价格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/实际报价*40，保留小数点后两位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期望价格由联盟综合考虑相关产品在泉州地区销售价格分布情况、其他地区集采中选价格情况确定，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各产品期望价格见下表：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5"/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5"/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期望价格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5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压力传感器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5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5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一次性使用雾化吸入器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5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5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一次性使用输液接头（正压）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5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5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一次性使用输液接头（非正压）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5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5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5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5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5"/>
        <w:jc w:val="left"/>
        <w:rPr>
          <w:rFonts w:hint="eastAsia" w:ascii="仿宋_GB2312" w:hAnsi="微软雅黑" w:eastAsia="仿宋_GB2312" w:cs="宋体"/>
          <w:color w:val="333333"/>
          <w:kern w:val="0"/>
          <w:sz w:val="3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GJmZmVkMTVkM2U2NTVlNDEyMTJiYTZhZDAxMzYifQ=="/>
  </w:docVars>
  <w:rsids>
    <w:rsidRoot w:val="30CD6F49"/>
    <w:rsid w:val="30C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2023-11-28T07:31:00Z</dcterms:created>
  <dc:creator>洪奕芳</dc:creator>
  <cp:lastModifiedBy>洪奕芳</cp:lastModifiedBy>
  <dcterms:modified xsi:type="dcterms:W3CDTF">2023-11-28T07:32:05Z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C8A9FC77580D4645948D716FF78F721B_11</vt:lpwstr>
  </property>
</Properties>
</file>